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rsidTr="00C11DA7">
        <w:trPr>
          <w:trHeight w:val="934"/>
        </w:trPr>
        <w:tc>
          <w:tcPr>
            <w:tcW w:w="5795" w:type="dxa"/>
            <w:gridSpan w:val="3"/>
            <w:vAlign w:val="center"/>
          </w:tcPr>
          <w:p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rsidR="002F1A8F" w:rsidRPr="00126A88" w:rsidRDefault="002F1A8F" w:rsidP="005109CA">
            <w:pPr>
              <w:rPr>
                <w:rFonts w:ascii="Lucida Sans" w:hAnsi="Lucida Sans"/>
                <w:b/>
                <w:sz w:val="20"/>
              </w:rPr>
            </w:pPr>
          </w:p>
          <w:p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946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7" o:title=""/>
                </v:shape>
                <o:OLEObject Type="Embed" ProgID="PBrush" ShapeID="_x0000_i1025" DrawAspect="Content" ObjectID="_1596277795" r:id="rId8"/>
              </w:object>
            </w:r>
          </w:p>
        </w:tc>
      </w:tr>
      <w:tr w:rsidR="002F1A8F" w:rsidRPr="00126A88"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rsidR="002F1A8F" w:rsidRDefault="002F1A8F" w:rsidP="005109CA">
            <w:pPr>
              <w:pStyle w:val="EndnoteText"/>
              <w:tabs>
                <w:tab w:val="left" w:pos="0"/>
              </w:tabs>
              <w:suppressAutoHyphens/>
              <w:rPr>
                <w:rFonts w:ascii="Lucida Sans" w:hAnsi="Lucida Sans"/>
                <w:sz w:val="20"/>
                <w:lang w:val="en-GB"/>
              </w:rPr>
            </w:pPr>
          </w:p>
          <w:p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rsidR="002F1A8F" w:rsidRPr="00126A88" w:rsidRDefault="002F1A8F" w:rsidP="005109CA">
            <w:pPr>
              <w:tabs>
                <w:tab w:val="left" w:pos="0"/>
              </w:tabs>
              <w:suppressAutoHyphens/>
              <w:rPr>
                <w:rFonts w:ascii="Lucida Sans" w:hAnsi="Lucida Sans"/>
                <w:sz w:val="20"/>
              </w:rPr>
            </w:pPr>
          </w:p>
        </w:tc>
      </w:tr>
      <w:tr w:rsidR="002F1A8F" w:rsidRPr="00021413"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rsidR="00C11DA7" w:rsidRPr="00C11DA7" w:rsidRDefault="00C11DA7" w:rsidP="00A0512B">
            <w:pPr>
              <w:pStyle w:val="EndnoteText"/>
              <w:tabs>
                <w:tab w:val="left" w:pos="0"/>
              </w:tabs>
              <w:suppressAutoHyphens/>
              <w:spacing w:before="240"/>
              <w:rPr>
                <w:rFonts w:ascii="Lucida Sans" w:hAnsi="Lucida Sans"/>
                <w:sz w:val="20"/>
                <w:lang w:val="en-GB"/>
              </w:rPr>
            </w:pPr>
          </w:p>
          <w:p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rsidR="00C11DA7" w:rsidRPr="00021413" w:rsidRDefault="00C11DA7" w:rsidP="00C11DA7">
            <w:pPr>
              <w:pStyle w:val="EndnoteText"/>
              <w:tabs>
                <w:tab w:val="left" w:pos="0"/>
              </w:tabs>
              <w:suppressAutoHyphens/>
              <w:spacing w:before="240"/>
              <w:rPr>
                <w:rFonts w:ascii="Lucida Sans" w:hAnsi="Lucida Sans"/>
                <w:sz w:val="20"/>
                <w:lang w:val="en-GB"/>
              </w:rPr>
            </w:pPr>
          </w:p>
        </w:tc>
      </w:tr>
    </w:tbl>
    <w:p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rsidTr="005109CA">
        <w:trPr>
          <w:trHeight w:val="811"/>
        </w:trPr>
        <w:tc>
          <w:tcPr>
            <w:tcW w:w="10260" w:type="dxa"/>
            <w:gridSpan w:val="4"/>
            <w:shd w:val="clear" w:color="auto" w:fill="CCCCCC"/>
            <w:vAlign w:val="center"/>
          </w:tcPr>
          <w:p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rsidTr="005109CA">
        <w:trPr>
          <w:trHeight w:val="606"/>
        </w:trPr>
        <w:tc>
          <w:tcPr>
            <w:tcW w:w="4723"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rsidTr="004A5C7E">
        <w:trPr>
          <w:trHeight w:val="1691"/>
        </w:trPr>
        <w:tc>
          <w:tcPr>
            <w:tcW w:w="4723" w:type="dxa"/>
          </w:tcPr>
          <w:p w:rsidR="0029049F" w:rsidRDefault="0029049F" w:rsidP="005109CA">
            <w:pPr>
              <w:rPr>
                <w:rFonts w:ascii="Verdana" w:hAnsi="Verdana" w:cs="Arial"/>
                <w:b/>
                <w:sz w:val="20"/>
              </w:rPr>
            </w:pPr>
            <w:r w:rsidRPr="00A247DA">
              <w:rPr>
                <w:rFonts w:ascii="Verdana" w:hAnsi="Verdana" w:cs="Arial"/>
                <w:b/>
                <w:sz w:val="20"/>
              </w:rPr>
              <w:t>Qualifications, Knowledge and Experience:</w:t>
            </w:r>
          </w:p>
          <w:p w:rsidR="00263F5B" w:rsidRDefault="00263F5B" w:rsidP="005109CA">
            <w:pPr>
              <w:rPr>
                <w:rFonts w:ascii="Verdana" w:hAnsi="Verdana" w:cs="Arial"/>
                <w:b/>
                <w:sz w:val="20"/>
              </w:rPr>
            </w:pPr>
          </w:p>
          <w:p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rsidR="0029049F" w:rsidRPr="00A247DA" w:rsidRDefault="0029049F" w:rsidP="005109CA">
            <w:pPr>
              <w:tabs>
                <w:tab w:val="left" w:pos="0"/>
              </w:tabs>
              <w:suppressAutoHyphens/>
              <w:rPr>
                <w:rFonts w:ascii="Verdana" w:hAnsi="Verdana"/>
                <w:sz w:val="20"/>
              </w:rPr>
            </w:pPr>
          </w:p>
          <w:p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rsidR="00263F5B" w:rsidRPr="00263F5B" w:rsidRDefault="00263F5B" w:rsidP="00263F5B">
            <w:pPr>
              <w:tabs>
                <w:tab w:val="left" w:pos="0"/>
              </w:tabs>
              <w:suppressAutoHyphens/>
              <w:rPr>
                <w:rFonts w:ascii="Lucida Sans" w:hAnsi="Lucida Sans"/>
                <w:sz w:val="20"/>
              </w:rPr>
            </w:pPr>
          </w:p>
          <w:p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rsidR="00263F5B" w:rsidRPr="00263F5B" w:rsidRDefault="00263F5B" w:rsidP="00263F5B">
            <w:pPr>
              <w:tabs>
                <w:tab w:val="left" w:pos="0"/>
              </w:tabs>
              <w:suppressAutoHyphens/>
              <w:rPr>
                <w:rFonts w:ascii="Lucida Sans" w:hAnsi="Lucida Sans"/>
                <w:sz w:val="20"/>
              </w:rPr>
            </w:pPr>
          </w:p>
          <w:p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rsidR="00DB5B8A" w:rsidRPr="00DB5B8A" w:rsidRDefault="00DB5B8A" w:rsidP="00DB5B8A">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xml:space="preserve">, Appendix </w:t>
            </w:r>
            <w:r w:rsidR="00DB5B8A" w:rsidRPr="00E233B6">
              <w:rPr>
                <w:rFonts w:ascii="Verdana" w:hAnsi="Verdana"/>
                <w:i/>
                <w:iCs/>
                <w:sz w:val="20"/>
              </w:rPr>
              <w:lastRenderedPageBreak/>
              <w:t>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rsidR="006D2BD1" w:rsidRDefault="006D2BD1" w:rsidP="00E233B6">
            <w:pPr>
              <w:tabs>
                <w:tab w:val="left" w:pos="0"/>
              </w:tabs>
              <w:suppressAutoHyphens/>
              <w:rPr>
                <w:rFonts w:ascii="Verdana" w:hAnsi="Verdana"/>
                <w:i/>
                <w:iCs/>
                <w:sz w:val="20"/>
              </w:rPr>
            </w:pPr>
          </w:p>
          <w:p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rsidR="0029049F" w:rsidRDefault="0029049F" w:rsidP="005109CA">
            <w:pPr>
              <w:jc w:val="center"/>
              <w:rPr>
                <w:rFonts w:ascii="Verdana" w:hAnsi="Verdana" w:cs="Arial"/>
                <w:sz w:val="20"/>
              </w:rPr>
            </w:pPr>
          </w:p>
          <w:p w:rsidR="00023305" w:rsidRDefault="00023305" w:rsidP="005109CA">
            <w:pPr>
              <w:jc w:val="center"/>
              <w:rPr>
                <w:rFonts w:ascii="Verdana" w:hAnsi="Verdana" w:cs="Arial"/>
                <w:sz w:val="20"/>
              </w:rPr>
            </w:pPr>
          </w:p>
          <w:p w:rsidR="00023305" w:rsidRPr="00A247DA" w:rsidRDefault="00023305"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656CCB" w:rsidRDefault="00656CCB" w:rsidP="00656CCB">
            <w:pPr>
              <w:jc w:val="center"/>
              <w:rPr>
                <w:rFonts w:ascii="Verdana" w:hAnsi="Verdana" w:cs="Arial"/>
                <w:sz w:val="20"/>
              </w:rPr>
            </w:pPr>
            <w:r w:rsidRPr="00A247DA">
              <w:rPr>
                <w:rFonts w:ascii="Verdana" w:hAnsi="Verdana" w:cs="Arial"/>
                <w:sz w:val="20"/>
              </w:rPr>
              <w:sym w:font="Wingdings" w:char="F0FC"/>
            </w:r>
          </w:p>
          <w:p w:rsidR="00656CCB" w:rsidRPr="00A247DA" w:rsidRDefault="00656CCB" w:rsidP="00656CCB">
            <w:pPr>
              <w:jc w:val="center"/>
              <w:rPr>
                <w:rFonts w:ascii="Verdana" w:hAnsi="Verdana" w:cs="Arial"/>
                <w:sz w:val="20"/>
              </w:rPr>
            </w:pPr>
            <w:r>
              <w:rPr>
                <w:rFonts w:ascii="Verdana" w:hAnsi="Verdana" w:cs="Arial"/>
                <w:sz w:val="20"/>
              </w:rPr>
              <w:t>(where relevant)</w:t>
            </w:r>
          </w:p>
          <w:p w:rsidR="00656CCB" w:rsidRPr="00A247DA" w:rsidRDefault="00656CCB"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6D2BD1" w:rsidRDefault="006D2BD1" w:rsidP="005109CA">
            <w:pPr>
              <w:jc w:val="center"/>
              <w:rPr>
                <w:rFonts w:ascii="Verdana" w:hAnsi="Verdana" w:cs="Arial"/>
                <w:sz w:val="20"/>
              </w:rPr>
            </w:pPr>
            <w:bookmarkStart w:id="0" w:name="_GoBack"/>
            <w:bookmarkEnd w:id="0"/>
          </w:p>
          <w:p w:rsidR="006D2BD1" w:rsidRDefault="006D2BD1" w:rsidP="006D2BD1">
            <w:pPr>
              <w:jc w:val="center"/>
              <w:rPr>
                <w:rFonts w:ascii="Verdana" w:hAnsi="Verdana" w:cs="Arial"/>
                <w:sz w:val="20"/>
              </w:rPr>
            </w:pPr>
            <w:r w:rsidRPr="00A247DA">
              <w:rPr>
                <w:rFonts w:ascii="Verdana" w:hAnsi="Verdana" w:cs="Arial"/>
                <w:sz w:val="20"/>
              </w:rPr>
              <w:sym w:font="Wingdings" w:char="F0FC"/>
            </w:r>
          </w:p>
          <w:p w:rsidR="006D2BD1" w:rsidRPr="00BC0C60" w:rsidRDefault="006D2BD1" w:rsidP="005109CA">
            <w:pPr>
              <w:jc w:val="center"/>
              <w:rPr>
                <w:rFonts w:ascii="Verdana" w:hAnsi="Verdana" w:cs="Arial"/>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Pr="00350B0B" w:rsidRDefault="00023305"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656CCB">
            <w:pPr>
              <w:jc w:val="center"/>
              <w:rPr>
                <w:rFonts w:ascii="Verdana" w:hAnsi="Verdana"/>
                <w:sz w:val="20"/>
                <w:lang w:val="fr-FR"/>
              </w:rPr>
            </w:pPr>
          </w:p>
          <w:p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Pr="00350B0B" w:rsidRDefault="004A5C7E" w:rsidP="00263F5B">
            <w:pPr>
              <w:jc w:val="center"/>
              <w:rPr>
                <w:rFonts w:ascii="Verdana" w:hAnsi="Verdana"/>
                <w:sz w:val="20"/>
                <w:lang w:val="fr-FR"/>
              </w:rPr>
            </w:pPr>
          </w:p>
          <w:p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56CCB" w:rsidRPr="00350B0B" w:rsidRDefault="00656CCB" w:rsidP="005109CA">
            <w:pPr>
              <w:jc w:val="center"/>
              <w:rPr>
                <w:rFonts w:ascii="Verdana" w:hAnsi="Verdana"/>
                <w:sz w:val="20"/>
                <w:lang w:val="fr-FR"/>
              </w:rPr>
            </w:pPr>
          </w:p>
        </w:tc>
      </w:tr>
      <w:tr w:rsidR="0029049F" w:rsidRPr="00A247DA" w:rsidTr="005109CA">
        <w:trPr>
          <w:trHeight w:val="1119"/>
        </w:trPr>
        <w:tc>
          <w:tcPr>
            <w:tcW w:w="4723" w:type="dxa"/>
          </w:tcPr>
          <w:p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rsidR="00B73844" w:rsidRPr="00B73844" w:rsidRDefault="00B73844" w:rsidP="00B73844">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p>
          <w:p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rsidR="00B73844" w:rsidRPr="00B73844" w:rsidRDefault="00B73844" w:rsidP="00B73844">
            <w:pPr>
              <w:tabs>
                <w:tab w:val="left" w:pos="0"/>
              </w:tabs>
              <w:suppressAutoHyphens/>
              <w:rPr>
                <w:rFonts w:ascii="Verdana" w:hAnsi="Verdana"/>
                <w:sz w:val="20"/>
              </w:rPr>
            </w:pPr>
          </w:p>
          <w:p w:rsidR="00665CD0" w:rsidRPr="00B73844" w:rsidRDefault="00665CD0" w:rsidP="00B73844">
            <w:pPr>
              <w:tabs>
                <w:tab w:val="left" w:pos="0"/>
              </w:tabs>
              <w:suppressAutoHyphens/>
              <w:rPr>
                <w:rFonts w:ascii="Verdana" w:hAnsi="Verdana"/>
                <w:sz w:val="20"/>
              </w:rPr>
            </w:pPr>
          </w:p>
          <w:p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B73844" w:rsidRDefault="00B73844" w:rsidP="00506542">
            <w:pPr>
              <w:rPr>
                <w:rFonts w:ascii="Verdana" w:hAnsi="Verdana" w:cs="Arial"/>
                <w:sz w:val="20"/>
              </w:rPr>
            </w:pPr>
          </w:p>
          <w:p w:rsidR="00B73844" w:rsidRDefault="00B73844" w:rsidP="00997066">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D815C6" w:rsidRPr="00A247DA" w:rsidRDefault="00D815C6" w:rsidP="00B73844">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506542" w:rsidRDefault="00506542" w:rsidP="000B0CA6">
            <w:pPr>
              <w:jc w:val="center"/>
              <w:rPr>
                <w:rFonts w:ascii="Verdana" w:hAnsi="Verdana" w:cs="Arial"/>
                <w:sz w:val="20"/>
              </w:rPr>
            </w:pPr>
            <w:r w:rsidRPr="00A247DA">
              <w:rPr>
                <w:rFonts w:ascii="Verdana" w:hAnsi="Verdana" w:cs="Arial"/>
                <w:sz w:val="20"/>
              </w:rPr>
              <w:sym w:font="Wingdings" w:char="F0FC"/>
            </w: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E716C8">
            <w:pPr>
              <w:jc w:val="center"/>
              <w:rPr>
                <w:rFonts w:ascii="Verdana" w:hAnsi="Verdana" w:cs="Arial"/>
                <w:sz w:val="20"/>
              </w:rPr>
            </w:pPr>
          </w:p>
          <w:p w:rsidR="00E716C8" w:rsidRDefault="00E716C8" w:rsidP="005109CA">
            <w:pPr>
              <w:jc w:val="center"/>
              <w:rPr>
                <w:rFonts w:ascii="Verdana" w:hAnsi="Verdana"/>
                <w:sz w:val="20"/>
              </w:rPr>
            </w:pPr>
          </w:p>
          <w:p w:rsidR="001C7EFF" w:rsidRDefault="001C7EFF" w:rsidP="005109CA">
            <w:pPr>
              <w:jc w:val="center"/>
              <w:rPr>
                <w:rFonts w:ascii="Verdana" w:hAnsi="Verdana"/>
                <w:sz w:val="20"/>
              </w:rPr>
            </w:pPr>
          </w:p>
          <w:p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rsidR="00506542" w:rsidRDefault="00506542" w:rsidP="00506542">
            <w:pPr>
              <w:rPr>
                <w:rFonts w:ascii="Verdana" w:hAnsi="Verdana" w:cs="Arial"/>
                <w:sz w:val="20"/>
              </w:rPr>
            </w:pPr>
          </w:p>
          <w:p w:rsidR="001C7EFF" w:rsidRPr="00A247DA" w:rsidRDefault="001C7EFF" w:rsidP="001C7EFF">
            <w:pPr>
              <w:jc w:val="center"/>
              <w:rPr>
                <w:rFonts w:ascii="Verdana" w:hAnsi="Verdana" w:cs="Arial"/>
                <w:sz w:val="20"/>
              </w:rPr>
            </w:pPr>
          </w:p>
          <w:p w:rsidR="001C7EFF" w:rsidRPr="00A247DA" w:rsidRDefault="001C7EFF" w:rsidP="005109CA">
            <w:pPr>
              <w:jc w:val="center"/>
              <w:rPr>
                <w:rFonts w:ascii="Verdana" w:hAnsi="Verdana"/>
                <w:sz w:val="20"/>
              </w:rPr>
            </w:pPr>
          </w:p>
        </w:tc>
        <w:tc>
          <w:tcPr>
            <w:tcW w:w="2038" w:type="dxa"/>
          </w:tcPr>
          <w:p w:rsidR="0029049F" w:rsidRPr="00A247DA" w:rsidRDefault="0029049F" w:rsidP="005109CA">
            <w:pPr>
              <w:rPr>
                <w:rFonts w:ascii="Verdana" w:hAnsi="Verdana"/>
                <w:sz w:val="20"/>
              </w:rPr>
            </w:pPr>
          </w:p>
          <w:p w:rsidR="00506542" w:rsidRDefault="00506542" w:rsidP="005109CA">
            <w:pPr>
              <w:rPr>
                <w:rFonts w:ascii="Verdana" w:hAnsi="Verdana"/>
                <w:sz w:val="20"/>
              </w:rPr>
            </w:pPr>
          </w:p>
          <w:p w:rsidR="000B0CA6" w:rsidRDefault="000B0CA6" w:rsidP="000B0CA6">
            <w:pPr>
              <w:jc w:val="center"/>
              <w:rPr>
                <w:rFonts w:ascii="Verdana" w:hAnsi="Verdana"/>
                <w:sz w:val="20"/>
              </w:rPr>
            </w:pPr>
            <w:r>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914175">
            <w:pPr>
              <w:jc w:val="center"/>
              <w:rPr>
                <w:rFonts w:ascii="Verdana" w:hAnsi="Verdana"/>
                <w:sz w:val="20"/>
              </w:rPr>
            </w:pPr>
          </w:p>
          <w:p w:rsidR="000B0CA6" w:rsidRDefault="000B0CA6" w:rsidP="00914175">
            <w:pPr>
              <w:jc w:val="center"/>
              <w:rPr>
                <w:rFonts w:ascii="Verdana" w:hAnsi="Verdana"/>
                <w:sz w:val="20"/>
              </w:rPr>
            </w:pPr>
          </w:p>
          <w:p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rsidR="0029049F" w:rsidRDefault="0029049F" w:rsidP="000B0CA6">
            <w:pPr>
              <w:jc w:val="center"/>
              <w:rPr>
                <w:rFonts w:ascii="Verdana" w:hAnsi="Verdana"/>
                <w:sz w:val="20"/>
              </w:rPr>
            </w:pPr>
          </w:p>
          <w:p w:rsidR="00B73844" w:rsidRDefault="00B73844" w:rsidP="00914175">
            <w:pPr>
              <w:jc w:val="center"/>
              <w:rPr>
                <w:rFonts w:ascii="Verdana" w:hAnsi="Verdana"/>
                <w:sz w:val="20"/>
              </w:rPr>
            </w:pPr>
          </w:p>
          <w:p w:rsidR="00B73844" w:rsidRDefault="00B73844" w:rsidP="00914175">
            <w:pPr>
              <w:jc w:val="center"/>
              <w:rPr>
                <w:rFonts w:ascii="Verdana" w:hAnsi="Verdana"/>
                <w:sz w:val="20"/>
              </w:rPr>
            </w:pPr>
          </w:p>
          <w:p w:rsidR="0029049F" w:rsidRPr="00A247DA" w:rsidRDefault="0029049F" w:rsidP="000B0CA6">
            <w:pPr>
              <w:jc w:val="center"/>
              <w:rPr>
                <w:rFonts w:ascii="Verdana" w:hAnsi="Verdana"/>
                <w:sz w:val="20"/>
              </w:rPr>
            </w:pPr>
            <w:r w:rsidRPr="00A247DA">
              <w:rPr>
                <w:rFonts w:ascii="Verdana" w:hAnsi="Verdana"/>
                <w:sz w:val="20"/>
              </w:rPr>
              <w:t>Application, Interview,</w:t>
            </w:r>
          </w:p>
          <w:p w:rsidR="0029049F" w:rsidRDefault="0029049F" w:rsidP="00914175">
            <w:pPr>
              <w:jc w:val="center"/>
              <w:rPr>
                <w:rFonts w:ascii="Verdana" w:hAnsi="Verdana"/>
                <w:sz w:val="20"/>
              </w:rPr>
            </w:pPr>
            <w:r w:rsidRPr="00A247DA">
              <w:rPr>
                <w:rFonts w:ascii="Verdana" w:hAnsi="Verdana"/>
                <w:sz w:val="20"/>
              </w:rPr>
              <w:t>References</w:t>
            </w:r>
          </w:p>
          <w:p w:rsidR="00B73844" w:rsidRPr="00A247DA" w:rsidRDefault="00B73844" w:rsidP="00914175">
            <w:pPr>
              <w:jc w:val="center"/>
              <w:rPr>
                <w:rFonts w:ascii="Verdana" w:hAnsi="Verdana"/>
                <w:sz w:val="20"/>
              </w:rPr>
            </w:pPr>
          </w:p>
          <w:p w:rsidR="00E716C8" w:rsidRDefault="00E716C8" w:rsidP="00914175">
            <w:pPr>
              <w:jc w:val="center"/>
              <w:rPr>
                <w:rFonts w:ascii="Verdana" w:hAnsi="Verdana"/>
                <w:sz w:val="20"/>
              </w:rPr>
            </w:pPr>
          </w:p>
          <w:p w:rsidR="00375384" w:rsidRPr="00A247DA" w:rsidRDefault="00375384" w:rsidP="000B0CA6">
            <w:pPr>
              <w:jc w:val="center"/>
              <w:rPr>
                <w:rFonts w:ascii="Verdana" w:hAnsi="Verdana"/>
                <w:sz w:val="20"/>
              </w:rPr>
            </w:pPr>
          </w:p>
        </w:tc>
      </w:tr>
      <w:tr w:rsidR="0029049F" w:rsidRPr="00A247DA" w:rsidTr="005109CA">
        <w:trPr>
          <w:trHeight w:val="709"/>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rsidR="0029049F" w:rsidRPr="00A247DA" w:rsidRDefault="0029049F" w:rsidP="005109CA">
            <w:pPr>
              <w:tabs>
                <w:tab w:val="left" w:pos="0"/>
              </w:tabs>
              <w:suppressAutoHyphens/>
              <w:rPr>
                <w:rFonts w:ascii="Verdana" w:hAnsi="Verdana"/>
                <w:sz w:val="20"/>
              </w:rPr>
            </w:pPr>
          </w:p>
          <w:p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rsidR="0029049F" w:rsidRPr="00A247DA" w:rsidRDefault="0029049F" w:rsidP="005109CA">
            <w:pPr>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w:t>
            </w:r>
          </w:p>
          <w:p w:rsidR="0029049F" w:rsidRPr="00A247DA" w:rsidRDefault="0029049F" w:rsidP="005109CA">
            <w:pPr>
              <w:jc w:val="center"/>
              <w:rPr>
                <w:rFonts w:ascii="Verdana" w:hAnsi="Verdana"/>
                <w:sz w:val="20"/>
              </w:rPr>
            </w:pPr>
            <w:r w:rsidRPr="00A247DA">
              <w:rPr>
                <w:rFonts w:ascii="Verdana" w:hAnsi="Verdana"/>
                <w:sz w:val="20"/>
              </w:rPr>
              <w:t xml:space="preserve">References </w:t>
            </w:r>
          </w:p>
          <w:p w:rsidR="0029049F" w:rsidRPr="00A247DA" w:rsidRDefault="0029049F" w:rsidP="005109CA">
            <w:pPr>
              <w:jc w:val="center"/>
              <w:rPr>
                <w:rFonts w:ascii="Verdana" w:hAnsi="Verdana"/>
                <w:sz w:val="20"/>
              </w:rPr>
            </w:pPr>
          </w:p>
          <w:p w:rsidR="0090227D" w:rsidRPr="00A247DA" w:rsidRDefault="0090227D" w:rsidP="0090227D">
            <w:pPr>
              <w:jc w:val="center"/>
              <w:rPr>
                <w:rFonts w:ascii="Verdana" w:hAnsi="Verdana"/>
                <w:sz w:val="20"/>
              </w:rPr>
            </w:pPr>
            <w:r w:rsidRPr="00A247DA">
              <w:rPr>
                <w:rFonts w:ascii="Verdana" w:hAnsi="Verdana"/>
                <w:sz w:val="20"/>
              </w:rPr>
              <w:t>Application, Interview,</w:t>
            </w:r>
          </w:p>
          <w:p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rsidTr="005109CA">
        <w:trPr>
          <w:trHeight w:val="1275"/>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rsidR="0029049F" w:rsidRPr="00A247DA" w:rsidRDefault="0029049F" w:rsidP="005109CA">
            <w:pPr>
              <w:tabs>
                <w:tab w:val="left" w:pos="0"/>
              </w:tabs>
              <w:suppressAutoHyphens/>
              <w:rPr>
                <w:rFonts w:ascii="Verdana" w:hAnsi="Verdana"/>
                <w:sz w:val="20"/>
              </w:rPr>
            </w:pP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870AF6">
            <w:pPr>
              <w:jc w:val="center"/>
              <w:rPr>
                <w:rFonts w:ascii="Verdana" w:hAnsi="Verdana"/>
                <w:sz w:val="20"/>
              </w:rPr>
            </w:pPr>
          </w:p>
        </w:tc>
        <w:tc>
          <w:tcPr>
            <w:tcW w:w="1701" w:type="dxa"/>
            <w:shd w:val="clear" w:color="auto" w:fill="auto"/>
          </w:tcPr>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sz w:val="20"/>
              </w:rPr>
            </w:pPr>
          </w:p>
        </w:tc>
        <w:tc>
          <w:tcPr>
            <w:tcW w:w="2038" w:type="dxa"/>
            <w:shd w:val="clear" w:color="auto" w:fill="auto"/>
          </w:tcPr>
          <w:p w:rsidR="0029049F" w:rsidRPr="00A247DA" w:rsidRDefault="0029049F" w:rsidP="001B059A">
            <w:pP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rsidTr="005109CA">
        <w:trPr>
          <w:trHeight w:val="1257"/>
        </w:trPr>
        <w:tc>
          <w:tcPr>
            <w:tcW w:w="4723" w:type="dxa"/>
          </w:tcPr>
          <w:p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rsidR="0029049F" w:rsidRPr="00A247DA" w:rsidRDefault="0029049F" w:rsidP="005109CA">
            <w:pPr>
              <w:tabs>
                <w:tab w:val="left" w:pos="0"/>
              </w:tabs>
              <w:suppressAutoHyphens/>
              <w:rPr>
                <w:rFonts w:ascii="Verdana" w:hAnsi="Verdana"/>
                <w:sz w:val="20"/>
              </w:rPr>
            </w:pPr>
          </w:p>
          <w:p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tc>
        <w:tc>
          <w:tcPr>
            <w:tcW w:w="1701" w:type="dxa"/>
            <w:shd w:val="clear" w:color="auto" w:fill="auto"/>
          </w:tcPr>
          <w:p w:rsidR="0029049F" w:rsidRPr="00A247DA" w:rsidRDefault="0029049F" w:rsidP="005109CA">
            <w:pPr>
              <w:jc w:val="center"/>
              <w:rPr>
                <w:rFonts w:ascii="Verdana" w:hAnsi="Verdana"/>
                <w:sz w:val="20"/>
              </w:rPr>
            </w:pPr>
          </w:p>
          <w:p w:rsidR="0029049F" w:rsidRPr="00A247DA" w:rsidRDefault="0029049F" w:rsidP="006C5241">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Default="0029049F" w:rsidP="00D06102">
            <w:pPr>
              <w:rPr>
                <w:rFonts w:ascii="Verdana" w:hAnsi="Verdana"/>
                <w:sz w:val="20"/>
              </w:rPr>
            </w:pPr>
          </w:p>
          <w:p w:rsidR="00D06102" w:rsidRPr="00A247DA" w:rsidRDefault="00D06102" w:rsidP="005109CA">
            <w:pPr>
              <w:jc w:val="center"/>
              <w:rPr>
                <w:rFonts w:ascii="Verdana" w:hAnsi="Verdana"/>
                <w:sz w:val="20"/>
              </w:rPr>
            </w:pPr>
          </w:p>
          <w:p w:rsidR="0029049F" w:rsidRPr="00A247DA" w:rsidRDefault="0029049F" w:rsidP="005109CA">
            <w:pPr>
              <w:jc w:val="center"/>
              <w:rPr>
                <w:rFonts w:ascii="Verdana" w:hAnsi="Verdana" w:cs="Arial"/>
                <w:sz w:val="20"/>
              </w:rPr>
            </w:pPr>
          </w:p>
        </w:tc>
        <w:tc>
          <w:tcPr>
            <w:tcW w:w="2038" w:type="dxa"/>
            <w:shd w:val="clear" w:color="auto" w:fill="auto"/>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AA509B" w:rsidRPr="00A247DA" w:rsidRDefault="00AA509B" w:rsidP="00AA509B">
            <w:pPr>
              <w:jc w:val="center"/>
              <w:rPr>
                <w:rFonts w:ascii="Verdana" w:hAnsi="Verdana"/>
                <w:sz w:val="20"/>
              </w:rPr>
            </w:pPr>
            <w:r w:rsidRPr="00A247DA">
              <w:rPr>
                <w:rFonts w:ascii="Verdana" w:hAnsi="Verdana"/>
                <w:sz w:val="20"/>
              </w:rPr>
              <w:t>Application, Interview,</w:t>
            </w:r>
          </w:p>
          <w:p w:rsidR="00AA509B" w:rsidRDefault="00AA509B" w:rsidP="00AA509B">
            <w:pPr>
              <w:jc w:val="center"/>
              <w:rPr>
                <w:rFonts w:ascii="Verdana" w:hAnsi="Verdana"/>
                <w:sz w:val="20"/>
              </w:rPr>
            </w:pPr>
            <w:r w:rsidRPr="00A247DA">
              <w:rPr>
                <w:rFonts w:ascii="Verdana" w:hAnsi="Verdana"/>
                <w:sz w:val="20"/>
              </w:rPr>
              <w:t xml:space="preserve">Reference </w:t>
            </w:r>
          </w:p>
          <w:p w:rsidR="00AA509B" w:rsidRPr="00A247DA" w:rsidRDefault="00AA509B" w:rsidP="00D06102">
            <w:pPr>
              <w:rPr>
                <w:rFonts w:ascii="Verdana" w:hAnsi="Verdana"/>
                <w:sz w:val="20"/>
              </w:rPr>
            </w:pPr>
          </w:p>
          <w:p w:rsidR="0029049F" w:rsidRPr="00A247DA" w:rsidRDefault="0029049F" w:rsidP="00D06102">
            <w:pPr>
              <w:rPr>
                <w:rFonts w:ascii="Verdana" w:hAnsi="Verdana"/>
                <w:sz w:val="20"/>
              </w:rPr>
            </w:pPr>
          </w:p>
        </w:tc>
      </w:tr>
      <w:tr w:rsidR="0029049F" w:rsidRPr="00A247DA" w:rsidTr="005109CA">
        <w:trPr>
          <w:trHeight w:val="1393"/>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lastRenderedPageBreak/>
              <w:t xml:space="preserve">Other Skills and Behaviours: </w:t>
            </w:r>
          </w:p>
          <w:p w:rsidR="0020406D" w:rsidRDefault="0020406D" w:rsidP="00BB5A6A">
            <w:pPr>
              <w:tabs>
                <w:tab w:val="left" w:pos="0"/>
              </w:tabs>
              <w:suppressAutoHyphens/>
              <w:rPr>
                <w:rFonts w:ascii="Verdana" w:hAnsi="Verdana"/>
                <w:iCs/>
                <w:sz w:val="20"/>
              </w:rPr>
            </w:pPr>
          </w:p>
          <w:p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sz w:val="20"/>
              </w:rPr>
            </w:pPr>
          </w:p>
          <w:p w:rsidR="001354CC" w:rsidRPr="00A247DA" w:rsidRDefault="001354CC" w:rsidP="001354CC">
            <w:pPr>
              <w:jc w:val="center"/>
              <w:rPr>
                <w:rFonts w:ascii="Verdana" w:hAnsi="Verdana" w:cs="Arial"/>
                <w:sz w:val="20"/>
              </w:rPr>
            </w:pPr>
          </w:p>
          <w:p w:rsidR="0029049F" w:rsidRPr="00A247DA" w:rsidRDefault="0029049F" w:rsidP="001354CC">
            <w:pPr>
              <w:jc w:val="center"/>
              <w:rPr>
                <w:rFonts w:ascii="Verdana" w:hAnsi="Verdana"/>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1354CC" w:rsidRDefault="001354CC" w:rsidP="005109CA">
            <w:pPr>
              <w:jc w:val="center"/>
              <w:rPr>
                <w:rFonts w:ascii="Verdana" w:hAnsi="Verdana"/>
                <w:sz w:val="20"/>
              </w:rPr>
            </w:pPr>
          </w:p>
          <w:p w:rsidR="001354CC" w:rsidRPr="00A247DA" w:rsidRDefault="001354CC" w:rsidP="001354CC">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tc>
      </w:tr>
      <w:tr w:rsidR="0029049F" w:rsidRPr="00A247DA" w:rsidTr="005109CA">
        <w:trPr>
          <w:trHeight w:val="874"/>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rsidR="0029049F" w:rsidRDefault="0029049F" w:rsidP="005109CA">
            <w:pPr>
              <w:tabs>
                <w:tab w:val="left" w:pos="0"/>
              </w:tabs>
              <w:suppressAutoHyphens/>
              <w:rPr>
                <w:rFonts w:ascii="Verdana" w:hAnsi="Verdana"/>
                <w:sz w:val="20"/>
              </w:rPr>
            </w:pPr>
          </w:p>
          <w:p w:rsidR="0020406D" w:rsidRPr="00A247DA" w:rsidRDefault="0020406D" w:rsidP="005109CA">
            <w:pPr>
              <w:tabs>
                <w:tab w:val="left" w:pos="0"/>
              </w:tabs>
              <w:suppressAutoHyphens/>
              <w:rPr>
                <w:rFonts w:ascii="Verdana" w:hAnsi="Verdana"/>
                <w:sz w:val="20"/>
              </w:rPr>
            </w:pPr>
            <w:r>
              <w:rPr>
                <w:rFonts w:ascii="Verdana" w:hAnsi="Verdana"/>
                <w:sz w:val="20"/>
              </w:rPr>
              <w:t>N/A</w:t>
            </w:r>
          </w:p>
          <w:p w:rsidR="0029049F" w:rsidRPr="00A247DA" w:rsidRDefault="0029049F" w:rsidP="005109CA">
            <w:pPr>
              <w:tabs>
                <w:tab w:val="left" w:pos="0"/>
              </w:tabs>
              <w:suppressAutoHyphens/>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D06102">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tc>
      </w:tr>
    </w:tbl>
    <w:p w:rsidR="0029049F" w:rsidRPr="00A247DA" w:rsidRDefault="0029049F" w:rsidP="0029049F">
      <w:pPr>
        <w:pStyle w:val="Header"/>
        <w:jc w:val="center"/>
        <w:rPr>
          <w:b/>
          <w:sz w:val="20"/>
        </w:rPr>
      </w:pPr>
    </w:p>
    <w:p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DE" w:rsidRDefault="00705FDE" w:rsidP="009C2D68">
      <w:r>
        <w:separator/>
      </w:r>
    </w:p>
  </w:endnote>
  <w:endnote w:type="continuationSeparator" w:id="0">
    <w:p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rsidR="006D2BD1" w:rsidRDefault="006D2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305">
      <w:rPr>
        <w:rStyle w:val="PageNumber"/>
        <w:noProof/>
      </w:rPr>
      <w:t>3</w:t>
    </w:r>
    <w:r>
      <w:rPr>
        <w:rStyle w:val="PageNumber"/>
      </w:rPr>
      <w:fldChar w:fldCharType="end"/>
    </w:r>
  </w:p>
  <w:p w:rsidR="006D2BD1" w:rsidRDefault="006D2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DE" w:rsidRDefault="00705FDE" w:rsidP="009C2D68">
      <w:r>
        <w:separator/>
      </w:r>
    </w:p>
  </w:footnote>
  <w:footnote w:type="continuationSeparator" w:id="0">
    <w:p w:rsidR="00705FDE" w:rsidRDefault="00705FDE" w:rsidP="009C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F"/>
    <w:rsid w:val="00010F7B"/>
    <w:rsid w:val="00023305"/>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A5C7E"/>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0250D"/>
    <w:rsid w:val="00C11DA7"/>
    <w:rsid w:val="00C2738A"/>
    <w:rsid w:val="00C560E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Flynn H.M.</cp:lastModifiedBy>
  <cp:revision>12</cp:revision>
  <dcterms:created xsi:type="dcterms:W3CDTF">2015-10-13T10:40:00Z</dcterms:created>
  <dcterms:modified xsi:type="dcterms:W3CDTF">2018-08-20T12:35:00Z</dcterms:modified>
</cp:coreProperties>
</file>