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88E891D" w:rsidR="0012209D" w:rsidRDefault="00C26C02" w:rsidP="00321CAA">
            <w:r>
              <w:t>July 2019</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37"/>
        <w:gridCol w:w="966"/>
        <w:gridCol w:w="20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F92E1D8" w:rsidR="0012209D" w:rsidRPr="00447FD8" w:rsidRDefault="0062106E" w:rsidP="00321CAA">
            <w:pPr>
              <w:rPr>
                <w:b/>
                <w:bCs/>
              </w:rPr>
            </w:pPr>
            <w:r w:rsidRPr="0062106E">
              <w:rPr>
                <w:b/>
                <w:bCs/>
              </w:rPr>
              <w:t>Research Fellow: Integrated ATR and Raman Photonic Chip for Rapid Bedside Biomarker Diagnostics</w:t>
            </w:r>
          </w:p>
        </w:tc>
      </w:tr>
      <w:tr w:rsidR="0012209D" w14:paraId="15BF0875" w14:textId="77777777" w:rsidTr="00D3349E">
        <w:tc>
          <w:tcPr>
            <w:tcW w:w="2525" w:type="dxa"/>
            <w:shd w:val="clear" w:color="auto" w:fill="D9D9D9" w:themeFill="background1" w:themeFillShade="D9"/>
          </w:tcPr>
          <w:p w14:paraId="15BF0873" w14:textId="0CEB6259" w:rsidR="0012209D" w:rsidRDefault="00C26C02" w:rsidP="00321CAA">
            <w:r>
              <w:t>School</w:t>
            </w:r>
            <w:r w:rsidR="0012209D">
              <w:t>:</w:t>
            </w:r>
          </w:p>
        </w:tc>
        <w:tc>
          <w:tcPr>
            <w:tcW w:w="7226" w:type="dxa"/>
            <w:gridSpan w:val="3"/>
          </w:tcPr>
          <w:p w14:paraId="15BF0874" w14:textId="261C3288" w:rsidR="0012209D" w:rsidRDefault="00C26C02" w:rsidP="00321CAA">
            <w:r>
              <w:t>Optical Research Centre</w:t>
            </w:r>
          </w:p>
        </w:tc>
      </w:tr>
      <w:tr w:rsidR="00C26C02" w14:paraId="07201851" w14:textId="77777777" w:rsidTr="00BE1D20">
        <w:tc>
          <w:tcPr>
            <w:tcW w:w="2525" w:type="dxa"/>
            <w:shd w:val="clear" w:color="auto" w:fill="D9D9D9" w:themeFill="background1" w:themeFillShade="D9"/>
          </w:tcPr>
          <w:p w14:paraId="158400D7" w14:textId="4B829CEE" w:rsidR="00C26C02" w:rsidRDefault="00C26C02" w:rsidP="00321CAA">
            <w:r>
              <w:t>Faculty:</w:t>
            </w:r>
          </w:p>
        </w:tc>
        <w:tc>
          <w:tcPr>
            <w:tcW w:w="7226" w:type="dxa"/>
            <w:gridSpan w:val="3"/>
          </w:tcPr>
          <w:p w14:paraId="7A897A27" w14:textId="0D7006CC" w:rsidR="00C26C02" w:rsidRDefault="00C26C02" w:rsidP="00321CAA">
            <w:r>
              <w:t>Faculty of Engineering and Physical Sciences</w:t>
            </w:r>
          </w:p>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4EE01A70" w:rsidR="0012209D" w:rsidRDefault="00E804B0" w:rsidP="0062106E">
            <w:r>
              <w:t>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06630F36" w:rsidR="0012209D" w:rsidRDefault="0062106E"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678F6E76" w:rsidR="0012209D" w:rsidRDefault="00E804B0" w:rsidP="00E804B0">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0A7F383" w:rsidR="0012209D" w:rsidRPr="005508A2" w:rsidRDefault="0012209D" w:rsidP="00321CAA"/>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5F0AE8B" w:rsidR="0012209D" w:rsidRPr="005508A2" w:rsidRDefault="0062106E" w:rsidP="00321CAA">
            <w:r w:rsidRPr="0062106E">
              <w:t>Some day-to-day supervision of PhD students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EE4CB11" w:rsidR="0012209D" w:rsidRDefault="0062106E" w:rsidP="00321CAA">
            <w:r w:rsidRPr="0062106E">
              <w:t>To undertake fundamental and applied research into optical chips (modelling, microfabrication and characterisation) for Mid-IR and Raman spectroscopies for biomedical diagnostics.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8"/>
        <w:gridCol w:w="8026"/>
        <w:gridCol w:w="1013"/>
      </w:tblGrid>
      <w:tr w:rsidR="0012209D" w14:paraId="15BF0890" w14:textId="77777777" w:rsidTr="0062106E">
        <w:trPr>
          <w:tblHeader/>
        </w:trPr>
        <w:tc>
          <w:tcPr>
            <w:tcW w:w="872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2" w:type="dxa"/>
            <w:shd w:val="clear" w:color="auto" w:fill="D9D9D9" w:themeFill="background1" w:themeFillShade="D9"/>
          </w:tcPr>
          <w:p w14:paraId="15BF088F" w14:textId="77777777" w:rsidR="0012209D" w:rsidRDefault="0012209D" w:rsidP="00321CAA">
            <w:r>
              <w:t>% Time</w:t>
            </w:r>
          </w:p>
        </w:tc>
      </w:tr>
      <w:tr w:rsidR="0012209D" w14:paraId="15BF0894" w14:textId="77777777" w:rsidTr="0062106E">
        <w:tc>
          <w:tcPr>
            <w:tcW w:w="598" w:type="dxa"/>
            <w:tcBorders>
              <w:right w:val="nil"/>
            </w:tcBorders>
          </w:tcPr>
          <w:p w14:paraId="15BF0891" w14:textId="77777777" w:rsidR="0012209D" w:rsidRDefault="0012209D" w:rsidP="0012209D">
            <w:pPr>
              <w:pStyle w:val="ListParagraph"/>
              <w:numPr>
                <w:ilvl w:val="0"/>
                <w:numId w:val="17"/>
              </w:numPr>
            </w:pPr>
          </w:p>
        </w:tc>
        <w:tc>
          <w:tcPr>
            <w:tcW w:w="8131" w:type="dxa"/>
            <w:tcBorders>
              <w:left w:val="nil"/>
            </w:tcBorders>
          </w:tcPr>
          <w:p w14:paraId="42269EEE" w14:textId="77777777" w:rsidR="0062106E" w:rsidRDefault="0062106E" w:rsidP="0062106E">
            <w:pPr>
              <w:tabs>
                <w:tab w:val="left" w:pos="0"/>
              </w:tabs>
              <w:suppressAutoHyphens/>
              <w:spacing w:before="0" w:after="0"/>
              <w:rPr>
                <w:rFonts w:ascii="Arial" w:hAnsi="Arial" w:cs="Arial"/>
                <w:sz w:val="20"/>
              </w:rPr>
            </w:pPr>
            <w:r w:rsidRPr="00705EEA">
              <w:rPr>
                <w:rFonts w:ascii="Arial" w:hAnsi="Arial" w:cs="Arial"/>
                <w:sz w:val="20"/>
              </w:rPr>
              <w:t xml:space="preserve">To </w:t>
            </w:r>
            <w:r>
              <w:rPr>
                <w:rFonts w:ascii="Arial" w:hAnsi="Arial" w:cs="Arial"/>
                <w:sz w:val="20"/>
              </w:rPr>
              <w:t>conduct individual research into integrated photonic devices and instrumentation for biomedical diagnostics and their application in the clinical environment, generating a substantial body of novel research results according to the agreed research programme.</w:t>
            </w:r>
          </w:p>
          <w:p w14:paraId="5EABEE32" w14:textId="77777777" w:rsidR="0062106E" w:rsidRDefault="0062106E" w:rsidP="0062106E">
            <w:pPr>
              <w:tabs>
                <w:tab w:val="left" w:pos="0"/>
              </w:tabs>
              <w:suppressAutoHyphens/>
              <w:ind w:left="447"/>
              <w:rPr>
                <w:rFonts w:ascii="Arial" w:hAnsi="Arial" w:cs="Arial"/>
                <w:sz w:val="20"/>
              </w:rPr>
            </w:pPr>
            <w:r>
              <w:rPr>
                <w:rFonts w:ascii="Arial" w:hAnsi="Arial" w:cs="Arial"/>
                <w:sz w:val="20"/>
              </w:rPr>
              <w:t>The responsibilities include (but not limited to) the following:</w:t>
            </w:r>
          </w:p>
          <w:p w14:paraId="04DDD6EC"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 xml:space="preserve">Electromagnetic modelling of optoelectronic devices such as </w:t>
            </w:r>
            <w:proofErr w:type="spellStart"/>
            <w:r>
              <w:rPr>
                <w:rFonts w:ascii="Arial" w:hAnsi="Arial" w:cs="Arial"/>
                <w:sz w:val="20"/>
              </w:rPr>
              <w:t>microresonators</w:t>
            </w:r>
            <w:proofErr w:type="spellEnd"/>
            <w:r>
              <w:rPr>
                <w:rFonts w:ascii="Arial" w:hAnsi="Arial" w:cs="Arial"/>
                <w:sz w:val="20"/>
              </w:rPr>
              <w:t xml:space="preserve"> and </w:t>
            </w:r>
            <w:proofErr w:type="spellStart"/>
            <w:r>
              <w:rPr>
                <w:rFonts w:ascii="Arial" w:hAnsi="Arial" w:cs="Arial"/>
                <w:sz w:val="20"/>
              </w:rPr>
              <w:t>microprisms</w:t>
            </w:r>
            <w:proofErr w:type="spellEnd"/>
          </w:p>
          <w:p w14:paraId="4D8ADEA5"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Materials selection and validation</w:t>
            </w:r>
          </w:p>
          <w:p w14:paraId="638C41A5"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Microfabrication of photonic chips in the cleanroom environment</w:t>
            </w:r>
          </w:p>
          <w:p w14:paraId="16BF51C0"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Characterisation of these chips in the Visible, NIR and Mid-IR wavelengths</w:t>
            </w:r>
          </w:p>
          <w:p w14:paraId="44B0016D"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Building a customised Mid-IR/Raman combo spectrometer suitable for the fabricated chips</w:t>
            </w:r>
          </w:p>
          <w:p w14:paraId="2F3381CC" w14:textId="77777777" w:rsidR="0062106E"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Evanescent wave spectroscopy (Mid-IR and Raman) – modelling and measurements</w:t>
            </w:r>
          </w:p>
          <w:p w14:paraId="660748B9" w14:textId="77777777" w:rsidR="0062106E" w:rsidRPr="0025441A" w:rsidRDefault="0062106E" w:rsidP="0062106E">
            <w:pPr>
              <w:numPr>
                <w:ilvl w:val="0"/>
                <w:numId w:val="20"/>
              </w:numPr>
              <w:tabs>
                <w:tab w:val="left" w:pos="0"/>
              </w:tabs>
              <w:suppressAutoHyphens/>
              <w:spacing w:before="0" w:after="0"/>
              <w:rPr>
                <w:rFonts w:ascii="Arial" w:hAnsi="Arial" w:cs="Arial"/>
                <w:sz w:val="20"/>
              </w:rPr>
            </w:pPr>
            <w:r>
              <w:rPr>
                <w:rFonts w:ascii="Arial" w:hAnsi="Arial" w:cs="Arial"/>
                <w:sz w:val="20"/>
              </w:rPr>
              <w:t>Clinical application of Mid-IR and Raman spectroscopies using these chips</w:t>
            </w:r>
          </w:p>
          <w:p w14:paraId="15BF0892" w14:textId="77777777" w:rsidR="0012209D" w:rsidRDefault="0012209D" w:rsidP="00321CAA"/>
        </w:tc>
        <w:tc>
          <w:tcPr>
            <w:tcW w:w="1022" w:type="dxa"/>
          </w:tcPr>
          <w:p w14:paraId="15BF0893" w14:textId="3289ACE6" w:rsidR="0012209D" w:rsidRDefault="0062106E" w:rsidP="00321CAA">
            <w:r>
              <w:t>65</w:t>
            </w:r>
            <w:r w:rsidR="00E804B0">
              <w:t xml:space="preserve"> %</w:t>
            </w:r>
          </w:p>
        </w:tc>
      </w:tr>
      <w:tr w:rsidR="0012209D" w14:paraId="15BF0898" w14:textId="77777777" w:rsidTr="0062106E">
        <w:tc>
          <w:tcPr>
            <w:tcW w:w="598" w:type="dxa"/>
            <w:tcBorders>
              <w:right w:val="nil"/>
            </w:tcBorders>
          </w:tcPr>
          <w:p w14:paraId="15BF0895" w14:textId="77777777" w:rsidR="0012209D" w:rsidRDefault="0012209D" w:rsidP="0012209D">
            <w:pPr>
              <w:pStyle w:val="ListParagraph"/>
              <w:numPr>
                <w:ilvl w:val="0"/>
                <w:numId w:val="17"/>
              </w:numPr>
            </w:pPr>
          </w:p>
        </w:tc>
        <w:tc>
          <w:tcPr>
            <w:tcW w:w="8131" w:type="dxa"/>
            <w:tcBorders>
              <w:left w:val="nil"/>
            </w:tcBorders>
          </w:tcPr>
          <w:p w14:paraId="15BF0896" w14:textId="5E057D1D" w:rsidR="0012209D" w:rsidRDefault="0062106E" w:rsidP="00321CAA">
            <w:r w:rsidRPr="0062106E">
              <w:t>To collaborate with researchers in the Optoelectronics Research Centre, the Faculty of Medicine and researchers in other institutions to achieve project goals.</w:t>
            </w:r>
          </w:p>
        </w:tc>
        <w:tc>
          <w:tcPr>
            <w:tcW w:w="1022" w:type="dxa"/>
          </w:tcPr>
          <w:p w14:paraId="15BF0897" w14:textId="20C31F06" w:rsidR="0012209D" w:rsidRDefault="0062106E" w:rsidP="00321CAA">
            <w:r>
              <w:t>10</w:t>
            </w:r>
            <w:r w:rsidR="00E804B0">
              <w:t xml:space="preserve"> %</w:t>
            </w:r>
          </w:p>
        </w:tc>
      </w:tr>
      <w:tr w:rsidR="0012209D" w14:paraId="15BF089C" w14:textId="77777777" w:rsidTr="0062106E">
        <w:tc>
          <w:tcPr>
            <w:tcW w:w="598" w:type="dxa"/>
            <w:tcBorders>
              <w:right w:val="nil"/>
            </w:tcBorders>
          </w:tcPr>
          <w:p w14:paraId="15BF0899" w14:textId="77777777" w:rsidR="0012209D" w:rsidRDefault="0012209D" w:rsidP="0012209D">
            <w:pPr>
              <w:pStyle w:val="ListParagraph"/>
              <w:numPr>
                <w:ilvl w:val="0"/>
                <w:numId w:val="17"/>
              </w:numPr>
            </w:pPr>
          </w:p>
        </w:tc>
        <w:tc>
          <w:tcPr>
            <w:tcW w:w="8131" w:type="dxa"/>
            <w:tcBorders>
              <w:left w:val="nil"/>
            </w:tcBorders>
          </w:tcPr>
          <w:p w14:paraId="15BF089A" w14:textId="1A3495DC" w:rsidR="0012209D" w:rsidRDefault="0062106E" w:rsidP="00321CAA">
            <w:r w:rsidRPr="0062106E">
              <w:t>To disseminate findings by taking the lead in preparing publication materials for leading refereed journals and presenting results at international conferences,  to engage in occasional public outreach activities and to contribute towards the generation and protection of intellectual property.</w:t>
            </w:r>
          </w:p>
        </w:tc>
        <w:tc>
          <w:tcPr>
            <w:tcW w:w="1022" w:type="dxa"/>
          </w:tcPr>
          <w:p w14:paraId="15BF089B" w14:textId="55FFACF4" w:rsidR="0012209D" w:rsidRDefault="0062106E" w:rsidP="00321CAA">
            <w:r>
              <w:t>10</w:t>
            </w:r>
            <w:r w:rsidR="00E804B0">
              <w:t xml:space="preserve"> %</w:t>
            </w:r>
          </w:p>
        </w:tc>
      </w:tr>
      <w:tr w:rsidR="0012209D" w14:paraId="15BF08A0" w14:textId="77777777" w:rsidTr="0062106E">
        <w:tc>
          <w:tcPr>
            <w:tcW w:w="598" w:type="dxa"/>
            <w:tcBorders>
              <w:right w:val="nil"/>
            </w:tcBorders>
          </w:tcPr>
          <w:p w14:paraId="15BF089D" w14:textId="77777777" w:rsidR="0012209D" w:rsidRDefault="0012209D" w:rsidP="0012209D">
            <w:pPr>
              <w:pStyle w:val="ListParagraph"/>
              <w:numPr>
                <w:ilvl w:val="0"/>
                <w:numId w:val="17"/>
              </w:numPr>
            </w:pPr>
          </w:p>
        </w:tc>
        <w:tc>
          <w:tcPr>
            <w:tcW w:w="8131" w:type="dxa"/>
            <w:tcBorders>
              <w:left w:val="nil"/>
            </w:tcBorders>
          </w:tcPr>
          <w:p w14:paraId="15BF089E" w14:textId="10695933" w:rsidR="0012209D" w:rsidRDefault="0062106E" w:rsidP="00321CAA">
            <w:r w:rsidRPr="0062106E">
              <w:t>To 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2" w:type="dxa"/>
          </w:tcPr>
          <w:p w14:paraId="15BF089F" w14:textId="050CC6A3" w:rsidR="0012209D" w:rsidRDefault="0062106E" w:rsidP="00321CAA">
            <w:r>
              <w:t>5</w:t>
            </w:r>
            <w:r w:rsidR="00E804B0">
              <w:t xml:space="preserve"> %</w:t>
            </w:r>
          </w:p>
        </w:tc>
      </w:tr>
      <w:tr w:rsidR="0012209D" w14:paraId="15BF08A4" w14:textId="77777777" w:rsidTr="0062106E">
        <w:tc>
          <w:tcPr>
            <w:tcW w:w="598" w:type="dxa"/>
            <w:tcBorders>
              <w:right w:val="nil"/>
            </w:tcBorders>
          </w:tcPr>
          <w:p w14:paraId="15BF08A1" w14:textId="77777777" w:rsidR="0012209D" w:rsidRDefault="0012209D" w:rsidP="0012209D">
            <w:pPr>
              <w:pStyle w:val="ListParagraph"/>
              <w:numPr>
                <w:ilvl w:val="0"/>
                <w:numId w:val="17"/>
              </w:numPr>
            </w:pPr>
          </w:p>
        </w:tc>
        <w:tc>
          <w:tcPr>
            <w:tcW w:w="8131" w:type="dxa"/>
            <w:tcBorders>
              <w:left w:val="nil"/>
            </w:tcBorders>
          </w:tcPr>
          <w:p w14:paraId="15BF08A2" w14:textId="75DFC9DA" w:rsidR="0012209D" w:rsidRDefault="0062106E" w:rsidP="00321CAA">
            <w:r w:rsidRPr="0062106E">
              <w:t>To assist in the supervision of PhD students and carry out occasional undergraduate supervision, demonstrating or lecturing duties within own area of expertise, under the direct guidance of a member of academic staff.</w:t>
            </w:r>
          </w:p>
        </w:tc>
        <w:tc>
          <w:tcPr>
            <w:tcW w:w="1022" w:type="dxa"/>
          </w:tcPr>
          <w:p w14:paraId="15BF08A3" w14:textId="7943D802" w:rsidR="0012209D" w:rsidRDefault="0062106E" w:rsidP="00321CAA">
            <w:r>
              <w:t>5</w:t>
            </w:r>
            <w:r w:rsidR="00E804B0">
              <w:t xml:space="preserve"> %</w:t>
            </w:r>
          </w:p>
        </w:tc>
      </w:tr>
      <w:tr w:rsidR="0012209D" w14:paraId="15BF08AC" w14:textId="77777777" w:rsidTr="0062106E">
        <w:tc>
          <w:tcPr>
            <w:tcW w:w="598" w:type="dxa"/>
            <w:tcBorders>
              <w:right w:val="nil"/>
            </w:tcBorders>
          </w:tcPr>
          <w:p w14:paraId="15BF08A9" w14:textId="77777777" w:rsidR="0012209D" w:rsidRDefault="0012209D" w:rsidP="0012209D">
            <w:pPr>
              <w:pStyle w:val="ListParagraph"/>
              <w:numPr>
                <w:ilvl w:val="0"/>
                <w:numId w:val="17"/>
              </w:numPr>
            </w:pPr>
          </w:p>
        </w:tc>
        <w:tc>
          <w:tcPr>
            <w:tcW w:w="8131" w:type="dxa"/>
            <w:tcBorders>
              <w:left w:val="nil"/>
            </w:tcBorders>
          </w:tcPr>
          <w:p w14:paraId="15BF08AA" w14:textId="77777777" w:rsidR="0012209D" w:rsidRPr="00447FD8" w:rsidRDefault="0012209D" w:rsidP="00321CAA">
            <w:r w:rsidRPr="00447FD8">
              <w:t>Any other duties as allocated by the line manager following consultation with the post holder.</w:t>
            </w:r>
          </w:p>
        </w:tc>
        <w:tc>
          <w:tcPr>
            <w:tcW w:w="1022" w:type="dxa"/>
          </w:tcPr>
          <w:p w14:paraId="15BF08AB" w14:textId="5C20DAC2" w:rsidR="0012209D" w:rsidRDefault="0062106E"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192464B" w14:textId="1F9D019E" w:rsidR="000638F7" w:rsidRDefault="000638F7" w:rsidP="000638F7">
            <w:r>
              <w:t xml:space="preserve">Responsible to </w:t>
            </w:r>
            <w:proofErr w:type="spellStart"/>
            <w:r>
              <w:t>Dr.</w:t>
            </w:r>
            <w:proofErr w:type="spellEnd"/>
            <w:r>
              <w:t xml:space="preserve"> </w:t>
            </w:r>
            <w:proofErr w:type="spellStart"/>
            <w:r>
              <w:t>Senthil</w:t>
            </w:r>
            <w:proofErr w:type="spellEnd"/>
            <w:r>
              <w:t xml:space="preserve"> </w:t>
            </w:r>
            <w:proofErr w:type="spellStart"/>
            <w:r>
              <w:t>Murugan</w:t>
            </w:r>
            <w:proofErr w:type="spellEnd"/>
            <w:r>
              <w:t xml:space="preserve"> Ganapathy as Principal Investigator. </w:t>
            </w:r>
          </w:p>
          <w:p w14:paraId="639F4D90" w14:textId="77777777" w:rsidR="000638F7" w:rsidRDefault="000638F7" w:rsidP="000638F7">
            <w:r>
              <w:t xml:space="preserve">Close working with co-investigators Prof James Wilkinson, Prof Antony </w:t>
            </w:r>
            <w:proofErr w:type="spellStart"/>
            <w:r>
              <w:t>Postle</w:t>
            </w:r>
            <w:proofErr w:type="spellEnd"/>
            <w:r>
              <w:t xml:space="preserve"> and Prof Howard Clark.</w:t>
            </w:r>
          </w:p>
          <w:p w14:paraId="716F6E7E" w14:textId="77777777" w:rsidR="000638F7" w:rsidRDefault="000638F7" w:rsidP="000638F7">
            <w:r>
              <w:t>Working relationships with research staff, experimental officers, technicians and students throughout the ORC.</w:t>
            </w:r>
          </w:p>
          <w:p w14:paraId="5AEED3A1" w14:textId="77777777" w:rsidR="000638F7" w:rsidRDefault="000638F7" w:rsidP="000638F7">
            <w:r>
              <w:t>Close links with Faculty of Medicine for collaborative research.</w:t>
            </w:r>
          </w:p>
          <w:p w14:paraId="15BF08B0" w14:textId="1739AB12" w:rsidR="0012209D" w:rsidRDefault="000638F7" w:rsidP="000638F7">
            <w:r>
              <w:t>Working links with University procurement staff and with equipment, consumables and software manufacturers and suppliers to ensure low-waste, high-quality provision of an up-to-date working environment.</w:t>
            </w:r>
          </w:p>
        </w:tc>
      </w:tr>
    </w:tbl>
    <w:p w14:paraId="15BF08B2" w14:textId="1FF8C159" w:rsidR="0012209D" w:rsidRDefault="0012209D" w:rsidP="0012209D"/>
    <w:tbl>
      <w:tblPr>
        <w:tblStyle w:val="SUTable"/>
        <w:tblW w:w="0" w:type="auto"/>
        <w:tblLook w:val="04A0" w:firstRow="1" w:lastRow="0" w:firstColumn="1" w:lastColumn="0" w:noHBand="0" w:noVBand="1"/>
      </w:tblPr>
      <w:tblGrid>
        <w:gridCol w:w="9627"/>
      </w:tblGrid>
      <w:tr w:rsidR="00EB30BC" w14:paraId="4844BE2A" w14:textId="77777777" w:rsidTr="008C5E2C">
        <w:trPr>
          <w:tblHeader/>
        </w:trPr>
        <w:tc>
          <w:tcPr>
            <w:tcW w:w="9751" w:type="dxa"/>
            <w:shd w:val="clear" w:color="auto" w:fill="D9D9D9" w:themeFill="background1" w:themeFillShade="D9"/>
          </w:tcPr>
          <w:p w14:paraId="738173CF" w14:textId="77777777" w:rsidR="00EB30BC" w:rsidRDefault="00EB30BC" w:rsidP="008C5E2C">
            <w:r>
              <w:t>Special Requirements</w:t>
            </w:r>
          </w:p>
        </w:tc>
      </w:tr>
      <w:tr w:rsidR="00EB30BC" w14:paraId="2AE60382" w14:textId="77777777" w:rsidTr="008C5E2C">
        <w:trPr>
          <w:trHeight w:val="1134"/>
        </w:trPr>
        <w:tc>
          <w:tcPr>
            <w:tcW w:w="9751" w:type="dxa"/>
          </w:tcPr>
          <w:p w14:paraId="4F0917E1" w14:textId="77777777" w:rsidR="00EB30BC" w:rsidRDefault="00EB30BC" w:rsidP="008C5E2C">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251E3D23" w14:textId="472404D1" w:rsidR="00C26C02" w:rsidRDefault="00C26C02" w:rsidP="0012209D"/>
    <w:p w14:paraId="4BD98E3B" w14:textId="49B6E060" w:rsidR="00C26C02" w:rsidRDefault="00C26C02" w:rsidP="0012209D"/>
    <w:p w14:paraId="07CAA46F" w14:textId="3DFD167B" w:rsidR="00C26C02" w:rsidRDefault="00C26C02" w:rsidP="0012209D"/>
    <w:p w14:paraId="31543391" w14:textId="202D3FFB" w:rsidR="00C26C02" w:rsidRDefault="00C26C02" w:rsidP="0012209D"/>
    <w:p w14:paraId="02FC32FD" w14:textId="17A8BDDB" w:rsidR="00C26C02" w:rsidRDefault="00C26C02" w:rsidP="0012209D"/>
    <w:p w14:paraId="3F884A5C" w14:textId="7E1E2793" w:rsidR="00C26C02" w:rsidRDefault="00C26C02" w:rsidP="0012209D"/>
    <w:p w14:paraId="65E13A3F" w14:textId="6C09B46D" w:rsidR="00C26C02" w:rsidRDefault="00C26C02" w:rsidP="0012209D"/>
    <w:p w14:paraId="4B5BB77A" w14:textId="568E335D" w:rsidR="00C26C02" w:rsidRDefault="00C26C02" w:rsidP="0012209D"/>
    <w:p w14:paraId="28555366" w14:textId="3FC126D0" w:rsidR="00C26C02" w:rsidRDefault="00C26C02" w:rsidP="0012209D"/>
    <w:p w14:paraId="6FFABD72" w14:textId="28CC9B44" w:rsidR="00C26C02" w:rsidRDefault="00C26C02" w:rsidP="0012209D"/>
    <w:p w14:paraId="4C6D43BD" w14:textId="30857906" w:rsidR="00C26C02" w:rsidRDefault="00C26C02" w:rsidP="0012209D"/>
    <w:p w14:paraId="0B80A597" w14:textId="32E5DDE5" w:rsidR="00C26C02" w:rsidRDefault="00C26C02" w:rsidP="0012209D"/>
    <w:p w14:paraId="377E7B13" w14:textId="7B1F6C9C" w:rsidR="00C26C02" w:rsidRDefault="00C26C02" w:rsidP="0012209D"/>
    <w:p w14:paraId="7F969514" w14:textId="18E23C4A" w:rsidR="00C26C02" w:rsidRDefault="00C26C02" w:rsidP="0012209D"/>
    <w:p w14:paraId="3A2FA113" w14:textId="0ADACF05" w:rsidR="00C26C02" w:rsidRDefault="00C26C02" w:rsidP="0012209D"/>
    <w:p w14:paraId="0744B31C" w14:textId="27C30CD5" w:rsidR="00C26C02" w:rsidRDefault="00C26C02" w:rsidP="0012209D"/>
    <w:p w14:paraId="00D002F3" w14:textId="43CEF842" w:rsidR="00C26C02" w:rsidRDefault="00C26C02" w:rsidP="0012209D"/>
    <w:p w14:paraId="7616E09A" w14:textId="4AF48432" w:rsidR="00C26C02" w:rsidRDefault="00C26C02" w:rsidP="0012209D"/>
    <w:p w14:paraId="21804AA8" w14:textId="6B70599D" w:rsidR="00C26C02" w:rsidRDefault="00C26C02" w:rsidP="0012209D"/>
    <w:p w14:paraId="502AC190" w14:textId="58BF8689" w:rsidR="00C26C02" w:rsidRDefault="00C26C02" w:rsidP="0012209D"/>
    <w:p w14:paraId="4699282F" w14:textId="157FFEC3" w:rsidR="00C26C02" w:rsidRDefault="00C26C02" w:rsidP="0012209D"/>
    <w:p w14:paraId="6A5D41F9" w14:textId="2621A571" w:rsidR="00C26C02" w:rsidRDefault="00C26C02" w:rsidP="0012209D"/>
    <w:p w14:paraId="73D4A26F" w14:textId="60197629" w:rsidR="00C26C02" w:rsidRDefault="00C26C02" w:rsidP="0012209D"/>
    <w:p w14:paraId="4BD6EABF" w14:textId="77777777" w:rsidR="00C26C02" w:rsidRDefault="00C26C02"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3"/>
        <w:gridCol w:w="3337"/>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305909EC" w14:textId="77777777" w:rsidR="00013C10" w:rsidRDefault="000638F7" w:rsidP="0012209D">
            <w:r w:rsidRPr="000638F7">
              <w:t>PhD or equivalent professional qualifications in an appropriate scientific/engineering discipline.</w:t>
            </w:r>
          </w:p>
          <w:p w14:paraId="62DE6E7C" w14:textId="77777777" w:rsidR="000638F7" w:rsidRDefault="000638F7" w:rsidP="0012209D"/>
          <w:p w14:paraId="624228A7" w14:textId="0142C316" w:rsidR="000638F7" w:rsidRPr="000638F7" w:rsidRDefault="000638F7" w:rsidP="000638F7">
            <w:r w:rsidRPr="000638F7">
              <w:t>Detailed understanding and knowledge of photonics</w:t>
            </w:r>
            <w:r w:rsidR="00C26C02">
              <w:t xml:space="preserve">, spectroscopy and </w:t>
            </w:r>
            <w:r w:rsidRPr="000638F7">
              <w:t xml:space="preserve">optical </w:t>
            </w:r>
            <w:r w:rsidR="00C26C02">
              <w:t>instrumentation</w:t>
            </w:r>
          </w:p>
          <w:p w14:paraId="1F1E75D9" w14:textId="77777777" w:rsidR="000638F7" w:rsidRPr="000638F7" w:rsidRDefault="000638F7" w:rsidP="000638F7"/>
          <w:p w14:paraId="6E9BBDE0" w14:textId="77777777" w:rsidR="000638F7" w:rsidRPr="000638F7" w:rsidRDefault="000638F7" w:rsidP="000638F7">
            <w:r w:rsidRPr="000638F7">
              <w:t>Substantial experimental research experience</w:t>
            </w:r>
          </w:p>
          <w:p w14:paraId="39A09A4F" w14:textId="77777777" w:rsidR="000638F7" w:rsidRPr="000638F7" w:rsidRDefault="000638F7" w:rsidP="000638F7"/>
          <w:p w14:paraId="614C8E61" w14:textId="77777777" w:rsidR="000638F7" w:rsidRPr="000638F7" w:rsidRDefault="000638F7" w:rsidP="000638F7">
            <w:r w:rsidRPr="000638F7">
              <w:t xml:space="preserve">In-depth knowledge of optoelectronics, spectroscopy and optical instrumentation. </w:t>
            </w:r>
          </w:p>
          <w:p w14:paraId="50FF1C98" w14:textId="77777777" w:rsidR="000638F7" w:rsidRPr="000638F7" w:rsidRDefault="000638F7" w:rsidP="000638F7"/>
          <w:p w14:paraId="15BF08BC" w14:textId="293358F2" w:rsidR="000638F7" w:rsidRDefault="000638F7" w:rsidP="00C26C02">
            <w:r w:rsidRPr="000638F7">
              <w:t xml:space="preserve">Experience in </w:t>
            </w:r>
            <w:proofErr w:type="spellStart"/>
            <w:r w:rsidRPr="000638F7">
              <w:t>microphotonic</w:t>
            </w:r>
            <w:proofErr w:type="spellEnd"/>
            <w:r w:rsidRPr="000638F7">
              <w:t xml:space="preserve"> device modelling</w:t>
            </w:r>
          </w:p>
        </w:tc>
        <w:tc>
          <w:tcPr>
            <w:tcW w:w="3402" w:type="dxa"/>
          </w:tcPr>
          <w:p w14:paraId="1E1E1E91" w14:textId="14F846BE" w:rsidR="000638F7" w:rsidRPr="000638F7" w:rsidRDefault="00C26C02" w:rsidP="000638F7">
            <w:r>
              <w:t>Ex</w:t>
            </w:r>
            <w:r w:rsidR="000638F7" w:rsidRPr="000638F7">
              <w:t>perience of software for instrumentation.</w:t>
            </w:r>
          </w:p>
          <w:p w14:paraId="04876B15" w14:textId="77777777" w:rsidR="000638F7" w:rsidRPr="000638F7" w:rsidRDefault="000638F7" w:rsidP="000638F7"/>
          <w:p w14:paraId="5A23C644" w14:textId="77777777" w:rsidR="000638F7" w:rsidRPr="000638F7" w:rsidRDefault="000638F7" w:rsidP="000638F7">
            <w:r w:rsidRPr="000638F7">
              <w:t>Experience of cleanroom processes.</w:t>
            </w:r>
          </w:p>
          <w:p w14:paraId="2979FD0A" w14:textId="77777777" w:rsidR="000638F7" w:rsidRPr="000638F7" w:rsidRDefault="000638F7" w:rsidP="000638F7"/>
          <w:p w14:paraId="47ED3669" w14:textId="77777777" w:rsidR="000638F7" w:rsidRPr="000638F7" w:rsidRDefault="000638F7" w:rsidP="000638F7">
            <w:r w:rsidRPr="000638F7">
              <w:t xml:space="preserve">Experience of </w:t>
            </w:r>
            <w:proofErr w:type="spellStart"/>
            <w:r w:rsidRPr="000638F7">
              <w:t>Labview</w:t>
            </w:r>
            <w:proofErr w:type="spellEnd"/>
            <w:r w:rsidRPr="000638F7">
              <w:t xml:space="preserve"> or equivalent.</w:t>
            </w:r>
          </w:p>
          <w:p w14:paraId="15BF08BD" w14:textId="77777777" w:rsidR="000638F7" w:rsidRDefault="000638F7" w:rsidP="0012209D"/>
        </w:tc>
        <w:tc>
          <w:tcPr>
            <w:tcW w:w="1330" w:type="dxa"/>
          </w:tcPr>
          <w:p w14:paraId="798DB887" w14:textId="77777777" w:rsidR="000638F7" w:rsidRPr="000638F7" w:rsidRDefault="000638F7" w:rsidP="000638F7">
            <w:pPr>
              <w:jc w:val="center"/>
              <w:rPr>
                <w:szCs w:val="18"/>
              </w:rPr>
            </w:pPr>
            <w:r w:rsidRPr="000638F7">
              <w:rPr>
                <w:szCs w:val="18"/>
              </w:rPr>
              <w:t>Application/</w:t>
            </w:r>
          </w:p>
          <w:p w14:paraId="4CED1604" w14:textId="77777777" w:rsidR="000638F7" w:rsidRPr="000638F7" w:rsidRDefault="000638F7" w:rsidP="000638F7">
            <w:pPr>
              <w:jc w:val="center"/>
              <w:rPr>
                <w:szCs w:val="18"/>
              </w:rPr>
            </w:pPr>
            <w:r w:rsidRPr="000638F7">
              <w:rPr>
                <w:szCs w:val="18"/>
              </w:rPr>
              <w:t>Interview</w:t>
            </w:r>
          </w:p>
          <w:p w14:paraId="3E7284C6" w14:textId="77777777" w:rsidR="000638F7" w:rsidRPr="000638F7" w:rsidRDefault="000638F7" w:rsidP="000638F7">
            <w:pPr>
              <w:jc w:val="center"/>
              <w:rPr>
                <w:szCs w:val="18"/>
              </w:rPr>
            </w:pPr>
          </w:p>
          <w:p w14:paraId="7A07B006" w14:textId="1C6FC9C6" w:rsidR="000638F7" w:rsidRPr="000638F7" w:rsidRDefault="000638F7" w:rsidP="000638F7">
            <w:pPr>
              <w:jc w:val="center"/>
              <w:rPr>
                <w:szCs w:val="18"/>
              </w:rPr>
            </w:pPr>
          </w:p>
          <w:p w14:paraId="15BF08BE" w14:textId="089E78E6" w:rsidR="000638F7" w:rsidRPr="000638F7" w:rsidRDefault="000638F7" w:rsidP="000638F7">
            <w:pPr>
              <w:jc w:val="center"/>
              <w:rPr>
                <w:szCs w:val="18"/>
              </w:rPr>
            </w:pPr>
          </w:p>
        </w:tc>
      </w:tr>
      <w:tr w:rsidR="00013C10" w14:paraId="15BF08C4" w14:textId="77777777" w:rsidTr="00013C10">
        <w:tc>
          <w:tcPr>
            <w:tcW w:w="1617"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402" w:type="dxa"/>
          </w:tcPr>
          <w:p w14:paraId="34FF7A49" w14:textId="77777777" w:rsidR="00A5503F" w:rsidRPr="00A5503F" w:rsidRDefault="00A5503F" w:rsidP="00A5503F">
            <w:r w:rsidRPr="00A5503F">
              <w:t>Able to organise own research activities to deadline and quality standards</w:t>
            </w:r>
          </w:p>
          <w:p w14:paraId="15BF08C1" w14:textId="77777777" w:rsidR="00013C10" w:rsidRDefault="00013C10" w:rsidP="0012209D"/>
        </w:tc>
        <w:tc>
          <w:tcPr>
            <w:tcW w:w="3402" w:type="dxa"/>
          </w:tcPr>
          <w:p w14:paraId="15BF08C2" w14:textId="77777777" w:rsidR="00013C10" w:rsidRDefault="00013C10" w:rsidP="0012209D"/>
        </w:tc>
        <w:tc>
          <w:tcPr>
            <w:tcW w:w="1330" w:type="dxa"/>
          </w:tcPr>
          <w:p w14:paraId="15BF08C3" w14:textId="3935F4AC" w:rsidR="00013C10" w:rsidRDefault="00A5503F" w:rsidP="00A5503F">
            <w:pPr>
              <w:jc w:val="center"/>
            </w:pPr>
            <w:r>
              <w:t>Interview</w:t>
            </w: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57C649B5" w14:textId="77777777" w:rsidR="00A5503F" w:rsidRPr="00A5503F" w:rsidRDefault="00A5503F" w:rsidP="00A5503F">
            <w:r w:rsidRPr="00A5503F">
              <w:t>Able to develop understanding of complex problems and apply in-depth knowledge to address them</w:t>
            </w:r>
          </w:p>
          <w:p w14:paraId="6D069777" w14:textId="77777777" w:rsidR="00A5503F" w:rsidRPr="00A5503F" w:rsidRDefault="00A5503F" w:rsidP="00A5503F"/>
          <w:p w14:paraId="30EDB3F5" w14:textId="77777777" w:rsidR="00A5503F" w:rsidRPr="00A5503F" w:rsidRDefault="00A5503F" w:rsidP="00A5503F">
            <w:r w:rsidRPr="00A5503F">
              <w:t>Able to develop original techniques/methods</w:t>
            </w:r>
          </w:p>
          <w:p w14:paraId="15BF08C6" w14:textId="77777777" w:rsidR="00013C10" w:rsidRDefault="00013C10" w:rsidP="0012209D"/>
        </w:tc>
        <w:tc>
          <w:tcPr>
            <w:tcW w:w="3402" w:type="dxa"/>
          </w:tcPr>
          <w:p w14:paraId="15BF08C7" w14:textId="77777777" w:rsidR="00013C10" w:rsidRDefault="00013C10" w:rsidP="0012209D"/>
        </w:tc>
        <w:tc>
          <w:tcPr>
            <w:tcW w:w="1330" w:type="dxa"/>
          </w:tcPr>
          <w:p w14:paraId="11CFDAFA" w14:textId="77777777" w:rsidR="00A5503F" w:rsidRPr="00A5503F" w:rsidRDefault="00A5503F" w:rsidP="00A5503F">
            <w:pPr>
              <w:jc w:val="center"/>
            </w:pPr>
            <w:r w:rsidRPr="00A5503F">
              <w:t>Application/</w:t>
            </w:r>
          </w:p>
          <w:p w14:paraId="6E107566" w14:textId="77777777" w:rsidR="00A5503F" w:rsidRPr="00A5503F" w:rsidRDefault="00A5503F" w:rsidP="00A5503F">
            <w:pPr>
              <w:jc w:val="center"/>
            </w:pPr>
            <w:r w:rsidRPr="00A5503F">
              <w:t>Interview</w:t>
            </w:r>
          </w:p>
          <w:p w14:paraId="7EAACB1E" w14:textId="77777777" w:rsidR="00013C10" w:rsidRDefault="00013C10" w:rsidP="0012209D"/>
          <w:p w14:paraId="793F2F56" w14:textId="77777777" w:rsidR="00A5503F" w:rsidRDefault="00A5503F" w:rsidP="0012209D"/>
          <w:p w14:paraId="15BF08C8" w14:textId="3E247151" w:rsidR="00A5503F" w:rsidRDefault="00A5503F" w:rsidP="00A5503F">
            <w:pPr>
              <w:jc w:val="center"/>
            </w:pPr>
            <w:r w:rsidRPr="00A5503F">
              <w:t>Application</w:t>
            </w:r>
          </w:p>
        </w:tc>
      </w:tr>
      <w:tr w:rsidR="00013C10" w14:paraId="15BF08CE" w14:textId="77777777" w:rsidTr="00013C10">
        <w:tc>
          <w:tcPr>
            <w:tcW w:w="1617"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402" w:type="dxa"/>
          </w:tcPr>
          <w:p w14:paraId="4F93F728" w14:textId="77777777" w:rsidR="00A5503F" w:rsidRPr="00A5503F" w:rsidRDefault="00A5503F" w:rsidP="00A5503F">
            <w:r w:rsidRPr="00A5503F">
              <w:t>Able to contribute to supervision of PhD students</w:t>
            </w:r>
          </w:p>
          <w:p w14:paraId="40ECD9C4" w14:textId="77777777" w:rsidR="00013C10" w:rsidRDefault="00013C10" w:rsidP="0012209D"/>
          <w:p w14:paraId="15BF08CB" w14:textId="393B29E2" w:rsidR="00A5503F" w:rsidRDefault="00A5503F" w:rsidP="0012209D">
            <w:r w:rsidRPr="00A5503F">
              <w:t>Work effectively in a team, understanding the strengths and weaknesses of others to help teamwork development</w:t>
            </w:r>
          </w:p>
        </w:tc>
        <w:tc>
          <w:tcPr>
            <w:tcW w:w="3402" w:type="dxa"/>
          </w:tcPr>
          <w:p w14:paraId="1F2C1F86" w14:textId="77777777" w:rsidR="00A5503F" w:rsidRPr="00A5503F" w:rsidRDefault="00A5503F" w:rsidP="00A5503F">
            <w:r w:rsidRPr="00A5503F">
              <w:t>Able to contribute to school management and administrative processes</w:t>
            </w:r>
          </w:p>
          <w:p w14:paraId="15BF08CC" w14:textId="77777777" w:rsidR="00A5503F" w:rsidRDefault="00A5503F" w:rsidP="0012209D"/>
        </w:tc>
        <w:tc>
          <w:tcPr>
            <w:tcW w:w="1330" w:type="dxa"/>
          </w:tcPr>
          <w:p w14:paraId="7C18B186" w14:textId="77777777" w:rsidR="00013C10" w:rsidRDefault="00A5503F" w:rsidP="00A5503F">
            <w:pPr>
              <w:jc w:val="center"/>
            </w:pPr>
            <w:r w:rsidRPr="00A5503F">
              <w:t>Interview</w:t>
            </w:r>
          </w:p>
          <w:p w14:paraId="5A5F5358" w14:textId="77777777" w:rsidR="00A5503F" w:rsidRDefault="00A5503F" w:rsidP="00A5503F">
            <w:pPr>
              <w:jc w:val="center"/>
            </w:pPr>
          </w:p>
          <w:p w14:paraId="160D45F1" w14:textId="77777777" w:rsidR="00A5503F" w:rsidRDefault="00A5503F" w:rsidP="00A5503F">
            <w:pPr>
              <w:jc w:val="center"/>
            </w:pPr>
          </w:p>
          <w:p w14:paraId="523A5791" w14:textId="77777777" w:rsidR="00A5503F" w:rsidRDefault="00A5503F" w:rsidP="00A5503F">
            <w:pPr>
              <w:jc w:val="center"/>
            </w:pPr>
            <w:r w:rsidRPr="00A5503F">
              <w:t>Interview</w:t>
            </w:r>
          </w:p>
          <w:p w14:paraId="233E40D3" w14:textId="77777777" w:rsidR="00A5503F" w:rsidRDefault="00A5503F" w:rsidP="00A5503F">
            <w:pPr>
              <w:jc w:val="center"/>
            </w:pPr>
          </w:p>
          <w:p w14:paraId="2649AEC1" w14:textId="77777777" w:rsidR="00A5503F" w:rsidRDefault="00A5503F" w:rsidP="00A5503F">
            <w:pPr>
              <w:jc w:val="center"/>
            </w:pPr>
          </w:p>
          <w:p w14:paraId="73C1DC41" w14:textId="77777777" w:rsidR="00A5503F" w:rsidRDefault="00A5503F" w:rsidP="00A5503F">
            <w:pPr>
              <w:jc w:val="center"/>
            </w:pPr>
          </w:p>
          <w:p w14:paraId="15BF08CD" w14:textId="6F2BA804" w:rsidR="00A5503F" w:rsidRDefault="00A5503F" w:rsidP="00A5503F">
            <w:pPr>
              <w:jc w:val="center"/>
            </w:pPr>
            <w:r w:rsidRPr="00A5503F">
              <w:t>Interview</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40F704B3" w14:textId="77777777" w:rsidR="0017016E" w:rsidRPr="0017016E" w:rsidRDefault="0017016E" w:rsidP="0017016E">
            <w:r w:rsidRPr="0017016E">
              <w:t>Communicate new and complex information effectively, both verbally and in writing, engaging the interest and enthusiasm of the target audience</w:t>
            </w:r>
          </w:p>
          <w:p w14:paraId="5F7C1E18" w14:textId="77777777" w:rsidR="0017016E" w:rsidRPr="0017016E" w:rsidRDefault="0017016E" w:rsidP="0017016E"/>
          <w:p w14:paraId="379B5B1B" w14:textId="77777777" w:rsidR="0017016E" w:rsidRPr="0017016E" w:rsidRDefault="0017016E" w:rsidP="0017016E">
            <w:r w:rsidRPr="0017016E">
              <w:t>Able to present research results at group meetings and conferences</w:t>
            </w:r>
          </w:p>
          <w:p w14:paraId="5E02F339" w14:textId="77777777" w:rsidR="0017016E" w:rsidRPr="0017016E" w:rsidRDefault="0017016E" w:rsidP="0017016E"/>
          <w:p w14:paraId="3239B86F" w14:textId="5948BC93" w:rsidR="0017016E" w:rsidRDefault="0017016E" w:rsidP="0017016E">
            <w:r w:rsidRPr="0017016E">
              <w:t xml:space="preserve">Excellent </w:t>
            </w:r>
            <w:bookmarkStart w:id="0" w:name="_GoBack"/>
            <w:r w:rsidRPr="0017016E">
              <w:t>publication</w:t>
            </w:r>
            <w:bookmarkEnd w:id="0"/>
            <w:r w:rsidRPr="0017016E">
              <w:t xml:space="preserve"> record</w:t>
            </w:r>
          </w:p>
          <w:p w14:paraId="56774777" w14:textId="2EDFDF70" w:rsidR="00C26C02" w:rsidRPr="0017016E" w:rsidRDefault="00C26C02" w:rsidP="0017016E">
            <w:r>
              <w:t>Successful research outcomes</w:t>
            </w:r>
          </w:p>
          <w:p w14:paraId="6B655549" w14:textId="77777777" w:rsidR="0017016E" w:rsidRPr="0017016E" w:rsidRDefault="0017016E" w:rsidP="0017016E"/>
          <w:p w14:paraId="2985BEFE" w14:textId="77777777" w:rsidR="0017016E" w:rsidRPr="0017016E" w:rsidRDefault="0017016E" w:rsidP="0017016E">
            <w:r w:rsidRPr="0017016E">
              <w:t>Work proactively with colleagues in other work areas/institutions, contributing specialist knowledge to achieve outcomes</w:t>
            </w:r>
          </w:p>
          <w:p w14:paraId="15BF08D0" w14:textId="77777777" w:rsidR="00013C10" w:rsidRDefault="00013C10" w:rsidP="0017016E"/>
        </w:tc>
        <w:tc>
          <w:tcPr>
            <w:tcW w:w="3402" w:type="dxa"/>
          </w:tcPr>
          <w:p w14:paraId="15BF08D1" w14:textId="77777777" w:rsidR="00013C10" w:rsidRDefault="00013C10" w:rsidP="0012209D"/>
        </w:tc>
        <w:tc>
          <w:tcPr>
            <w:tcW w:w="1330" w:type="dxa"/>
          </w:tcPr>
          <w:p w14:paraId="10D35BC5" w14:textId="77777777" w:rsidR="0017016E" w:rsidRPr="00A5503F" w:rsidRDefault="0017016E" w:rsidP="0017016E">
            <w:pPr>
              <w:jc w:val="center"/>
            </w:pPr>
            <w:r w:rsidRPr="00A5503F">
              <w:t>Application/</w:t>
            </w:r>
          </w:p>
          <w:p w14:paraId="17743D08" w14:textId="77777777" w:rsidR="0017016E" w:rsidRPr="00A5503F" w:rsidRDefault="0017016E" w:rsidP="0017016E">
            <w:pPr>
              <w:jc w:val="center"/>
            </w:pPr>
            <w:r w:rsidRPr="00A5503F">
              <w:t>Interview</w:t>
            </w:r>
          </w:p>
          <w:p w14:paraId="615612AD" w14:textId="77777777" w:rsidR="00013C10" w:rsidRDefault="00013C10" w:rsidP="0012209D"/>
          <w:p w14:paraId="3E176E95" w14:textId="77777777" w:rsidR="0017016E" w:rsidRDefault="0017016E" w:rsidP="0012209D"/>
          <w:p w14:paraId="23FA2E03" w14:textId="77777777" w:rsidR="0017016E" w:rsidRDefault="0017016E" w:rsidP="0012209D"/>
          <w:p w14:paraId="4FC3E16F" w14:textId="77777777" w:rsidR="0017016E" w:rsidRPr="00A5503F" w:rsidRDefault="0017016E" w:rsidP="0017016E">
            <w:pPr>
              <w:jc w:val="center"/>
            </w:pPr>
            <w:r w:rsidRPr="00A5503F">
              <w:t>Application/</w:t>
            </w:r>
          </w:p>
          <w:p w14:paraId="28AC4FF1" w14:textId="77777777" w:rsidR="0017016E" w:rsidRPr="00A5503F" w:rsidRDefault="0017016E" w:rsidP="0017016E">
            <w:pPr>
              <w:jc w:val="center"/>
            </w:pPr>
            <w:r w:rsidRPr="00A5503F">
              <w:t>Interview</w:t>
            </w:r>
          </w:p>
          <w:p w14:paraId="7583AA9D" w14:textId="77777777" w:rsidR="0017016E" w:rsidRDefault="0017016E" w:rsidP="0012209D"/>
          <w:p w14:paraId="7EED0D06" w14:textId="77777777" w:rsidR="0017016E" w:rsidRDefault="0017016E" w:rsidP="0017016E">
            <w:pPr>
              <w:jc w:val="center"/>
            </w:pPr>
            <w:r w:rsidRPr="00A5503F">
              <w:t>Application</w:t>
            </w:r>
          </w:p>
          <w:p w14:paraId="671992A4" w14:textId="77777777" w:rsidR="0017016E" w:rsidRDefault="0017016E" w:rsidP="0017016E">
            <w:pPr>
              <w:jc w:val="center"/>
            </w:pPr>
          </w:p>
          <w:p w14:paraId="5B1B9A55" w14:textId="77777777" w:rsidR="0017016E" w:rsidRPr="00A5503F" w:rsidRDefault="0017016E" w:rsidP="0017016E">
            <w:pPr>
              <w:jc w:val="center"/>
            </w:pPr>
            <w:r w:rsidRPr="00A5503F">
              <w:t>Application/</w:t>
            </w:r>
          </w:p>
          <w:p w14:paraId="4CFC9947" w14:textId="77777777" w:rsidR="0017016E" w:rsidRPr="00A5503F" w:rsidRDefault="0017016E" w:rsidP="0017016E">
            <w:pPr>
              <w:jc w:val="center"/>
            </w:pPr>
            <w:r w:rsidRPr="00A5503F">
              <w:t>Interview</w:t>
            </w:r>
          </w:p>
          <w:p w14:paraId="15BF08D2" w14:textId="4DF303FE" w:rsidR="0017016E" w:rsidRDefault="0017016E" w:rsidP="0017016E">
            <w:pPr>
              <w:jc w:val="center"/>
            </w:pPr>
          </w:p>
        </w:tc>
      </w:tr>
      <w:tr w:rsidR="00013C10" w14:paraId="15BF08D8" w14:textId="77777777" w:rsidTr="00013C10">
        <w:tc>
          <w:tcPr>
            <w:tcW w:w="1617" w:type="dxa"/>
          </w:tcPr>
          <w:p w14:paraId="15BF08D4" w14:textId="318610B2" w:rsidR="00013C10" w:rsidRPr="00FD5B0E" w:rsidRDefault="00013C10" w:rsidP="00E804B0">
            <w:r w:rsidRPr="00FD5B0E">
              <w:t xml:space="preserve">Other skills </w:t>
            </w:r>
            <w:r w:rsidR="00E804B0">
              <w:t>and</w:t>
            </w:r>
            <w:r w:rsidRPr="00FD5B0E">
              <w:t xml:space="preserve"> behaviours</w:t>
            </w:r>
          </w:p>
        </w:tc>
        <w:tc>
          <w:tcPr>
            <w:tcW w:w="3402" w:type="dxa"/>
          </w:tcPr>
          <w:p w14:paraId="76C9A25E" w14:textId="77777777" w:rsidR="0074015B" w:rsidRPr="0074015B" w:rsidRDefault="0074015B" w:rsidP="0074015B">
            <w:r w:rsidRPr="0074015B">
              <w:t>Understanding of relevant Health &amp; Safety issues</w:t>
            </w:r>
          </w:p>
          <w:p w14:paraId="3066EF01" w14:textId="77777777" w:rsidR="0074015B" w:rsidRPr="0074015B" w:rsidRDefault="0074015B" w:rsidP="0074015B"/>
          <w:p w14:paraId="77EBC0C4" w14:textId="77777777" w:rsidR="0074015B" w:rsidRPr="0074015B" w:rsidRDefault="0074015B" w:rsidP="0074015B">
            <w:bookmarkStart w:id="1" w:name="OLE_LINK1"/>
            <w:bookmarkStart w:id="2" w:name="OLE_LINK2"/>
            <w:r w:rsidRPr="0074015B">
              <w:t>Positive attitude to colleagues and students</w:t>
            </w:r>
          </w:p>
          <w:bookmarkEnd w:id="1"/>
          <w:bookmarkEnd w:id="2"/>
          <w:p w14:paraId="15BF08D5" w14:textId="77777777" w:rsidR="00013C10" w:rsidRDefault="00013C10" w:rsidP="0012209D"/>
        </w:tc>
        <w:tc>
          <w:tcPr>
            <w:tcW w:w="3402" w:type="dxa"/>
          </w:tcPr>
          <w:p w14:paraId="15BF08D6" w14:textId="77777777" w:rsidR="00013C10" w:rsidRDefault="00013C10" w:rsidP="0012209D"/>
        </w:tc>
        <w:tc>
          <w:tcPr>
            <w:tcW w:w="1330" w:type="dxa"/>
          </w:tcPr>
          <w:p w14:paraId="6BC6B360" w14:textId="77777777" w:rsidR="00013C10" w:rsidRDefault="0074015B" w:rsidP="0074015B">
            <w:pPr>
              <w:jc w:val="center"/>
            </w:pPr>
            <w:r>
              <w:t>Interview</w:t>
            </w:r>
          </w:p>
          <w:p w14:paraId="61884253" w14:textId="77777777" w:rsidR="0074015B" w:rsidRDefault="0074015B" w:rsidP="0074015B">
            <w:pPr>
              <w:jc w:val="center"/>
            </w:pPr>
          </w:p>
          <w:p w14:paraId="43656197" w14:textId="77777777" w:rsidR="0074015B" w:rsidRDefault="0074015B" w:rsidP="0074015B">
            <w:pPr>
              <w:jc w:val="center"/>
            </w:pPr>
          </w:p>
          <w:p w14:paraId="5AB0D81D" w14:textId="77777777" w:rsidR="0074015B" w:rsidRDefault="0074015B" w:rsidP="0074015B">
            <w:pPr>
              <w:jc w:val="center"/>
            </w:pPr>
            <w:r>
              <w:t>Interview/</w:t>
            </w:r>
          </w:p>
          <w:p w14:paraId="15BF08D7" w14:textId="4D5FBFA7" w:rsidR="0074015B" w:rsidRDefault="0074015B" w:rsidP="0074015B">
            <w:pPr>
              <w:jc w:val="center"/>
            </w:pPr>
            <w:r>
              <w:t>References</w:t>
            </w:r>
          </w:p>
        </w:tc>
      </w:tr>
      <w:tr w:rsidR="00013C10" w14:paraId="15BF08DD" w14:textId="77777777" w:rsidTr="00013C10">
        <w:tc>
          <w:tcPr>
            <w:tcW w:w="1617" w:type="dxa"/>
          </w:tcPr>
          <w:p w14:paraId="15BF08D9" w14:textId="40DC6129" w:rsidR="00013C10" w:rsidRPr="00FD5B0E" w:rsidRDefault="00013C10" w:rsidP="00321CAA">
            <w:r w:rsidRPr="00FD5B0E">
              <w:t>Special requirements</w:t>
            </w:r>
          </w:p>
        </w:tc>
        <w:tc>
          <w:tcPr>
            <w:tcW w:w="3402" w:type="dxa"/>
          </w:tcPr>
          <w:p w14:paraId="6C1F9DBE" w14:textId="77777777" w:rsidR="0074015B" w:rsidRPr="0074015B" w:rsidRDefault="0074015B" w:rsidP="0074015B">
            <w:r w:rsidRPr="0074015B">
              <w:t>Able to attend national and international conferences to present research results</w:t>
            </w:r>
          </w:p>
          <w:p w14:paraId="13F37D83" w14:textId="77777777" w:rsidR="0074015B" w:rsidRPr="0074015B" w:rsidRDefault="0074015B" w:rsidP="0074015B"/>
          <w:p w14:paraId="7F22BBF7" w14:textId="77777777" w:rsidR="0074015B" w:rsidRPr="0074015B" w:rsidRDefault="0074015B" w:rsidP="0074015B">
            <w:r w:rsidRPr="0074015B">
              <w:t>Cleanroom working</w:t>
            </w:r>
          </w:p>
          <w:p w14:paraId="15BF08DA" w14:textId="77777777" w:rsidR="00013C10" w:rsidRDefault="00013C10" w:rsidP="0012209D"/>
        </w:tc>
        <w:tc>
          <w:tcPr>
            <w:tcW w:w="3402" w:type="dxa"/>
          </w:tcPr>
          <w:p w14:paraId="15BF08DB" w14:textId="77777777" w:rsidR="00013C10" w:rsidRDefault="00013C10" w:rsidP="0012209D"/>
        </w:tc>
        <w:tc>
          <w:tcPr>
            <w:tcW w:w="1330" w:type="dxa"/>
          </w:tcPr>
          <w:p w14:paraId="35C36299" w14:textId="77777777" w:rsidR="0074015B" w:rsidRPr="00A5503F" w:rsidRDefault="0074015B" w:rsidP="0074015B">
            <w:pPr>
              <w:jc w:val="center"/>
            </w:pPr>
            <w:r w:rsidRPr="00A5503F">
              <w:t>Application/</w:t>
            </w:r>
          </w:p>
          <w:p w14:paraId="23AA5702" w14:textId="77777777" w:rsidR="0074015B" w:rsidRDefault="0074015B" w:rsidP="0074015B">
            <w:pPr>
              <w:jc w:val="center"/>
            </w:pPr>
            <w:r w:rsidRPr="00A5503F">
              <w:t>Interview</w:t>
            </w:r>
          </w:p>
          <w:p w14:paraId="58D8AFE2" w14:textId="77777777" w:rsidR="0074015B" w:rsidRDefault="0074015B" w:rsidP="0074015B">
            <w:pPr>
              <w:jc w:val="center"/>
            </w:pPr>
          </w:p>
          <w:p w14:paraId="0BE047DF" w14:textId="77777777" w:rsidR="0074015B" w:rsidRDefault="0074015B" w:rsidP="0074015B">
            <w:pPr>
              <w:jc w:val="center"/>
            </w:pPr>
          </w:p>
          <w:p w14:paraId="35CB5B95" w14:textId="77777777" w:rsidR="0074015B" w:rsidRPr="00A5503F" w:rsidRDefault="0074015B" w:rsidP="0074015B">
            <w:pPr>
              <w:jc w:val="center"/>
            </w:pPr>
            <w:r w:rsidRPr="00A5503F">
              <w:t>Application/</w:t>
            </w:r>
          </w:p>
          <w:p w14:paraId="3631F687" w14:textId="6F75F652" w:rsidR="0074015B" w:rsidRPr="00A5503F" w:rsidRDefault="0074015B" w:rsidP="0074015B">
            <w:pPr>
              <w:jc w:val="center"/>
            </w:pPr>
            <w:r w:rsidRPr="00A5503F">
              <w:t>Interview</w:t>
            </w:r>
          </w:p>
          <w:p w14:paraId="15BF08DC" w14:textId="77777777" w:rsidR="00013C10" w:rsidRDefault="00013C10" w:rsidP="0012209D"/>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EB30B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84460CE" w:rsidR="00D3349E" w:rsidRDefault="00EB30BC" w:rsidP="00E264FD">
            <w:sdt>
              <w:sdtPr>
                <w:id w:val="-174965147"/>
                <w14:checkbox>
                  <w14:checked w14:val="1"/>
                  <w14:checkedState w14:val="2612" w14:font="MS Gothic"/>
                  <w14:uncheckedState w14:val="2610" w14:font="MS Gothic"/>
                </w14:checkbox>
              </w:sdtPr>
              <w:sdtEndPr/>
              <w:sdtContent>
                <w:r w:rsidR="0076698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12B5AF91" w:rsidR="0012209D" w:rsidRPr="00766983" w:rsidRDefault="00766983" w:rsidP="00766983">
            <w:pPr>
              <w:jc w:val="center"/>
              <w:rPr>
                <w:rFonts w:ascii="Arial" w:hAnsi="Arial" w:cs="Arial"/>
                <w:sz w:val="20"/>
              </w:rPr>
            </w:pPr>
            <w:r>
              <w:rPr>
                <w:rFonts w:ascii="Arial" w:hAnsi="Arial" w:cs="Arial"/>
                <w:sz w:val="20"/>
              </w:rPr>
              <w:sym w:font="Wingdings" w:char="F0FC"/>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976C7AB" w:rsidR="0012209D" w:rsidRPr="00766983" w:rsidRDefault="00766983" w:rsidP="00766983">
            <w:pPr>
              <w:jc w:val="center"/>
              <w:rPr>
                <w:rFonts w:ascii="Arial" w:hAnsi="Arial" w:cs="Arial"/>
                <w:sz w:val="20"/>
              </w:rPr>
            </w:pPr>
            <w:r>
              <w:rPr>
                <w:rFonts w:ascii="Arial" w:hAnsi="Arial" w:cs="Arial"/>
                <w:sz w:val="20"/>
              </w:rPr>
              <w:sym w:font="Wingdings" w:char="F0FC"/>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7C343394" w:rsidR="00062768" w:rsidRDefault="00C26C02" w:rsidP="00E804B0">
    <w:pPr>
      <w:pStyle w:val="ContinuationFooter"/>
    </w:pPr>
    <w:fldSimple w:instr=" FILENAME   \* MERGEFORMAT ">
      <w:r w:rsidR="00E804B0">
        <w:t>Template</w:t>
      </w:r>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EB30BC">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45986"/>
    <w:multiLevelType w:val="hybridMultilevel"/>
    <w:tmpl w:val="6AB03D18"/>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F54311"/>
    <w:multiLevelType w:val="hybridMultilevel"/>
    <w:tmpl w:val="1B1C47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4"/>
  </w:num>
  <w:num w:numId="4">
    <w:abstractNumId w:val="10"/>
  </w:num>
  <w:num w:numId="5">
    <w:abstractNumId w:val="11"/>
  </w:num>
  <w:num w:numId="6">
    <w:abstractNumId w:val="8"/>
  </w:num>
  <w:num w:numId="7">
    <w:abstractNumId w:val="4"/>
  </w:num>
  <w:num w:numId="8">
    <w:abstractNumId w:val="6"/>
  </w:num>
  <w:num w:numId="9">
    <w:abstractNumId w:val="2"/>
  </w:num>
  <w:num w:numId="10">
    <w:abstractNumId w:val="9"/>
  </w:num>
  <w:num w:numId="11">
    <w:abstractNumId w:val="5"/>
  </w:num>
  <w:num w:numId="12">
    <w:abstractNumId w:val="15"/>
  </w:num>
  <w:num w:numId="13">
    <w:abstractNumId w:val="16"/>
  </w:num>
  <w:num w:numId="14">
    <w:abstractNumId w:val="7"/>
  </w:num>
  <w:num w:numId="15">
    <w:abstractNumId w:val="3"/>
  </w:num>
  <w:num w:numId="16">
    <w:abstractNumId w:val="12"/>
  </w:num>
  <w:num w:numId="17">
    <w:abstractNumId w:val="13"/>
  </w:num>
  <w:num w:numId="18">
    <w:abstractNumId w:val="18"/>
  </w:num>
  <w:num w:numId="19">
    <w:abstractNumId w:val="17"/>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638F7"/>
    <w:rsid w:val="00071653"/>
    <w:rsid w:val="000824F4"/>
    <w:rsid w:val="000978E8"/>
    <w:rsid w:val="000B1DED"/>
    <w:rsid w:val="000B4E5A"/>
    <w:rsid w:val="0012209D"/>
    <w:rsid w:val="001532E2"/>
    <w:rsid w:val="00156F2F"/>
    <w:rsid w:val="0017016E"/>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106E"/>
    <w:rsid w:val="006249FD"/>
    <w:rsid w:val="00651280"/>
    <w:rsid w:val="00680547"/>
    <w:rsid w:val="00695D76"/>
    <w:rsid w:val="006B1AF6"/>
    <w:rsid w:val="006F44EB"/>
    <w:rsid w:val="0070376B"/>
    <w:rsid w:val="0074015B"/>
    <w:rsid w:val="00761108"/>
    <w:rsid w:val="00766983"/>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5503F"/>
    <w:rsid w:val="00A925C0"/>
    <w:rsid w:val="00AA3CB5"/>
    <w:rsid w:val="00AC2B17"/>
    <w:rsid w:val="00AE1CA0"/>
    <w:rsid w:val="00AE39DC"/>
    <w:rsid w:val="00AE4DC4"/>
    <w:rsid w:val="00B430BB"/>
    <w:rsid w:val="00B84C12"/>
    <w:rsid w:val="00BB4A42"/>
    <w:rsid w:val="00BB7845"/>
    <w:rsid w:val="00BF1CC6"/>
    <w:rsid w:val="00C26C02"/>
    <w:rsid w:val="00C907D0"/>
    <w:rsid w:val="00CB1F23"/>
    <w:rsid w:val="00CD04F0"/>
    <w:rsid w:val="00CE3A26"/>
    <w:rsid w:val="00D147D3"/>
    <w:rsid w:val="00D16D9D"/>
    <w:rsid w:val="00D3349E"/>
    <w:rsid w:val="00D54AA2"/>
    <w:rsid w:val="00D55315"/>
    <w:rsid w:val="00D5587F"/>
    <w:rsid w:val="00D65B56"/>
    <w:rsid w:val="00D67D41"/>
    <w:rsid w:val="00E25775"/>
    <w:rsid w:val="00E264FD"/>
    <w:rsid w:val="00E363B8"/>
    <w:rsid w:val="00E63AC1"/>
    <w:rsid w:val="00E804B0"/>
    <w:rsid w:val="00E96015"/>
    <w:rsid w:val="00EB30BC"/>
    <w:rsid w:val="00ED2E52"/>
    <w:rsid w:val="00F01EA0"/>
    <w:rsid w:val="00F378D2"/>
    <w:rsid w:val="00F85DED"/>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6C48DCB-30D2-4CC0-974F-7650694F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C4F33-19F6-4DC1-961B-32618001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1000</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Stubbs S.</cp:lastModifiedBy>
  <cp:revision>2</cp:revision>
  <cp:lastPrinted>2008-01-14T17:11:00Z</cp:lastPrinted>
  <dcterms:created xsi:type="dcterms:W3CDTF">2019-07-24T13:13:00Z</dcterms:created>
  <dcterms:modified xsi:type="dcterms:W3CDTF">2019-07-24T13:13:00Z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