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08515887" w14:textId="77777777" w:rsidTr="00321CAA">
        <w:tc>
          <w:tcPr>
            <w:tcW w:w="1617" w:type="dxa"/>
          </w:tcPr>
          <w:p w14:paraId="39CE3C39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37E932DF" w14:textId="0577B0D5" w:rsidR="0012209D" w:rsidRDefault="008E4F7A" w:rsidP="00321CAA">
            <w:r>
              <w:t>October 2022</w:t>
            </w:r>
          </w:p>
        </w:tc>
      </w:tr>
    </w:tbl>
    <w:p w14:paraId="33BDD968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4A44A0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707"/>
        <w:gridCol w:w="1864"/>
      </w:tblGrid>
      <w:tr w:rsidR="0012209D" w14:paraId="4949CAB5" w14:textId="77777777" w:rsidTr="00163641">
        <w:tc>
          <w:tcPr>
            <w:tcW w:w="2500" w:type="dxa"/>
            <w:shd w:val="clear" w:color="auto" w:fill="D9D9D9" w:themeFill="background1" w:themeFillShade="D9"/>
          </w:tcPr>
          <w:p w14:paraId="5D37596F" w14:textId="77777777" w:rsidR="0012209D" w:rsidRDefault="0012209D" w:rsidP="00321CAA">
            <w:r>
              <w:t>Post title:</w:t>
            </w:r>
          </w:p>
        </w:tc>
        <w:tc>
          <w:tcPr>
            <w:tcW w:w="7127" w:type="dxa"/>
            <w:gridSpan w:val="3"/>
          </w:tcPr>
          <w:p w14:paraId="2F6ED0B7" w14:textId="4654DF8C" w:rsidR="0012209D" w:rsidRPr="00447FD8" w:rsidRDefault="00237017" w:rsidP="00462A1B">
            <w:pPr>
              <w:rPr>
                <w:b/>
                <w:bCs/>
              </w:rPr>
            </w:pPr>
            <w:r>
              <w:rPr>
                <w:b/>
                <w:bCs/>
              </w:rPr>
              <w:t>Research Funding Officer</w:t>
            </w:r>
          </w:p>
        </w:tc>
      </w:tr>
      <w:tr w:rsidR="0012209D" w14:paraId="726FEBC5" w14:textId="77777777" w:rsidTr="00163641">
        <w:tc>
          <w:tcPr>
            <w:tcW w:w="2500" w:type="dxa"/>
            <w:shd w:val="clear" w:color="auto" w:fill="D9D9D9" w:themeFill="background1" w:themeFillShade="D9"/>
          </w:tcPr>
          <w:p w14:paraId="2EF24D82" w14:textId="77777777" w:rsidR="0012209D" w:rsidRDefault="0012209D" w:rsidP="00321CAA">
            <w:r>
              <w:t>Academic Unit/Service:</w:t>
            </w:r>
          </w:p>
        </w:tc>
        <w:tc>
          <w:tcPr>
            <w:tcW w:w="7127" w:type="dxa"/>
            <w:gridSpan w:val="3"/>
          </w:tcPr>
          <w:p w14:paraId="20944035" w14:textId="77777777" w:rsidR="0012209D" w:rsidRDefault="0008673E" w:rsidP="0008673E">
            <w:r>
              <w:t>Research and Innovation Services</w:t>
            </w:r>
          </w:p>
        </w:tc>
      </w:tr>
      <w:tr w:rsidR="0012209D" w14:paraId="5D19981F" w14:textId="77777777" w:rsidTr="00163641">
        <w:tc>
          <w:tcPr>
            <w:tcW w:w="2500" w:type="dxa"/>
            <w:shd w:val="clear" w:color="auto" w:fill="D9D9D9" w:themeFill="background1" w:themeFillShade="D9"/>
          </w:tcPr>
          <w:p w14:paraId="7EA45D0C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56" w:type="dxa"/>
          </w:tcPr>
          <w:p w14:paraId="02929B69" w14:textId="77777777" w:rsidR="0012209D" w:rsidRDefault="002E1514" w:rsidP="00163641">
            <w:r>
              <w:t xml:space="preserve">Management, Specialist and Administrative 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4D60BCF9" w14:textId="77777777" w:rsidR="0012209D" w:rsidRDefault="0012209D" w:rsidP="00321CAA">
            <w:r>
              <w:t>Level:</w:t>
            </w:r>
          </w:p>
        </w:tc>
        <w:tc>
          <w:tcPr>
            <w:tcW w:w="1864" w:type="dxa"/>
          </w:tcPr>
          <w:p w14:paraId="133E6E49" w14:textId="23BD6207" w:rsidR="0012209D" w:rsidRDefault="00D825F6" w:rsidP="00321CAA">
            <w:r>
              <w:t>MSA4</w:t>
            </w:r>
          </w:p>
        </w:tc>
      </w:tr>
      <w:tr w:rsidR="0012209D" w14:paraId="36B5A083" w14:textId="77777777" w:rsidTr="00163641">
        <w:tc>
          <w:tcPr>
            <w:tcW w:w="2500" w:type="dxa"/>
            <w:shd w:val="clear" w:color="auto" w:fill="D9D9D9" w:themeFill="background1" w:themeFillShade="D9"/>
          </w:tcPr>
          <w:p w14:paraId="39EDC08B" w14:textId="77777777" w:rsidR="0012209D" w:rsidRDefault="0012209D" w:rsidP="00321CAA">
            <w:r>
              <w:t>Posts responsible to:</w:t>
            </w:r>
          </w:p>
        </w:tc>
        <w:tc>
          <w:tcPr>
            <w:tcW w:w="7127" w:type="dxa"/>
            <w:gridSpan w:val="3"/>
          </w:tcPr>
          <w:p w14:paraId="710061D2" w14:textId="5BC782B7" w:rsidR="0012209D" w:rsidRPr="005508A2" w:rsidRDefault="00237017" w:rsidP="00237017">
            <w:r>
              <w:t>Research Funding Manager</w:t>
            </w:r>
          </w:p>
        </w:tc>
      </w:tr>
      <w:tr w:rsidR="0012209D" w14:paraId="2F2CE854" w14:textId="77777777" w:rsidTr="00163641">
        <w:tc>
          <w:tcPr>
            <w:tcW w:w="2500" w:type="dxa"/>
            <w:shd w:val="clear" w:color="auto" w:fill="D9D9D9" w:themeFill="background1" w:themeFillShade="D9"/>
          </w:tcPr>
          <w:p w14:paraId="70DB98BB" w14:textId="77777777" w:rsidR="0012209D" w:rsidRDefault="0012209D" w:rsidP="00321CAA">
            <w:r>
              <w:t>Post base:</w:t>
            </w:r>
          </w:p>
        </w:tc>
        <w:tc>
          <w:tcPr>
            <w:tcW w:w="7127" w:type="dxa"/>
            <w:gridSpan w:val="3"/>
          </w:tcPr>
          <w:p w14:paraId="337F214A" w14:textId="07577BDA" w:rsidR="0012209D" w:rsidRPr="005508A2" w:rsidRDefault="008E4F7A" w:rsidP="00163641">
            <w:r w:rsidRPr="00332B92">
              <w:rPr>
                <w:rFonts w:cs="Arial"/>
                <w:szCs w:val="18"/>
              </w:rPr>
              <w:t xml:space="preserve">Office </w:t>
            </w:r>
            <w:r>
              <w:rPr>
                <w:rFonts w:cs="Arial"/>
                <w:szCs w:val="18"/>
              </w:rPr>
              <w:t>based (Hybrid working)</w:t>
            </w:r>
          </w:p>
        </w:tc>
      </w:tr>
    </w:tbl>
    <w:p w14:paraId="68D9AD30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09CAD99E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01D60001" w14:textId="77777777" w:rsidR="0012209D" w:rsidRDefault="0012209D" w:rsidP="00321CAA">
            <w:r>
              <w:t>Job purpose</w:t>
            </w:r>
          </w:p>
        </w:tc>
      </w:tr>
      <w:tr w:rsidR="0012209D" w:rsidRPr="009D31CE" w14:paraId="1B15A07B" w14:textId="77777777" w:rsidTr="00321CAA">
        <w:trPr>
          <w:trHeight w:val="1134"/>
        </w:trPr>
        <w:tc>
          <w:tcPr>
            <w:tcW w:w="10137" w:type="dxa"/>
          </w:tcPr>
          <w:p w14:paraId="460B3F2B" w14:textId="77777777" w:rsidR="0028305F" w:rsidRPr="009D31CE" w:rsidRDefault="001E30C3" w:rsidP="009D31CE">
            <w:pPr>
              <w:pStyle w:val="Default"/>
              <w:jc w:val="both"/>
              <w:rPr>
                <w:rFonts w:ascii="Lucida Sans" w:hAnsi="Lucida Sans"/>
                <w:sz w:val="18"/>
                <w:szCs w:val="18"/>
              </w:rPr>
            </w:pPr>
            <w:r w:rsidRPr="009D31CE">
              <w:rPr>
                <w:rFonts w:ascii="Lucida Sans" w:hAnsi="Lucida Sans"/>
                <w:sz w:val="18"/>
                <w:szCs w:val="18"/>
              </w:rPr>
              <w:t>Provide professional research support</w:t>
            </w:r>
            <w:r w:rsidR="007721BD">
              <w:rPr>
                <w:rFonts w:ascii="Lucida Sans" w:hAnsi="Lucida Sans"/>
                <w:sz w:val="18"/>
                <w:szCs w:val="18"/>
              </w:rPr>
              <w:t xml:space="preserve"> and specialist advice</w:t>
            </w:r>
            <w:r w:rsidRPr="009D31CE">
              <w:rPr>
                <w:rFonts w:ascii="Lucida Sans" w:hAnsi="Lucida Sans"/>
                <w:sz w:val="18"/>
                <w:szCs w:val="18"/>
              </w:rPr>
              <w:t xml:space="preserve"> to academic colleagues </w:t>
            </w:r>
            <w:r w:rsidR="007721BD">
              <w:rPr>
                <w:rFonts w:ascii="Lucida Sans" w:hAnsi="Lucida Sans"/>
                <w:sz w:val="18"/>
                <w:szCs w:val="18"/>
              </w:rPr>
              <w:t>on research funding matters (UK/international)</w:t>
            </w:r>
            <w:r w:rsidR="00D34C6B">
              <w:rPr>
                <w:rFonts w:ascii="Lucida Sans" w:hAnsi="Lucida Sans"/>
                <w:sz w:val="18"/>
                <w:szCs w:val="18"/>
              </w:rPr>
              <w:t>,</w:t>
            </w:r>
            <w:r w:rsidR="007721BD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EB32DD" w:rsidRPr="009D31CE">
              <w:rPr>
                <w:rFonts w:ascii="Lucida Sans" w:hAnsi="Lucida Sans"/>
                <w:sz w:val="18"/>
                <w:szCs w:val="18"/>
              </w:rPr>
              <w:t>contribut</w:t>
            </w:r>
            <w:r w:rsidR="007721BD">
              <w:rPr>
                <w:rFonts w:ascii="Lucida Sans" w:hAnsi="Lucida Sans"/>
                <w:sz w:val="18"/>
                <w:szCs w:val="18"/>
              </w:rPr>
              <w:t>ing</w:t>
            </w:r>
            <w:r w:rsidR="00EB32DD" w:rsidRPr="009D31CE">
              <w:rPr>
                <w:rFonts w:ascii="Lucida Sans" w:hAnsi="Lucida Sans"/>
                <w:sz w:val="18"/>
                <w:szCs w:val="18"/>
              </w:rPr>
              <w:t xml:space="preserve"> to the implementation of the </w:t>
            </w:r>
            <w:r w:rsidRPr="009D31CE">
              <w:rPr>
                <w:rFonts w:ascii="Lucida Sans" w:hAnsi="Lucida Sans"/>
                <w:sz w:val="18"/>
                <w:szCs w:val="18"/>
              </w:rPr>
              <w:t xml:space="preserve">University research </w:t>
            </w:r>
            <w:r w:rsidR="00E93B21">
              <w:rPr>
                <w:rFonts w:ascii="Lucida Sans" w:hAnsi="Lucida Sans"/>
                <w:sz w:val="18"/>
                <w:szCs w:val="18"/>
              </w:rPr>
              <w:t>and enterprise strategy that</w:t>
            </w:r>
            <w:r w:rsidR="009D31CE" w:rsidRPr="009D31CE">
              <w:rPr>
                <w:rFonts w:ascii="Lucida Sans" w:hAnsi="Lucida Sans"/>
                <w:sz w:val="18"/>
                <w:szCs w:val="18"/>
              </w:rPr>
              <w:t xml:space="preserve"> will </w:t>
            </w:r>
            <w:r w:rsidR="00EB32DD" w:rsidRPr="009D31CE">
              <w:rPr>
                <w:rFonts w:ascii="Lucida Sans" w:hAnsi="Lucida Sans"/>
                <w:sz w:val="18"/>
                <w:szCs w:val="18"/>
              </w:rPr>
              <w:t xml:space="preserve">maximise the University </w:t>
            </w:r>
            <w:r w:rsidR="00E93B21">
              <w:rPr>
                <w:rFonts w:ascii="Lucida Sans" w:hAnsi="Lucida Sans"/>
                <w:sz w:val="18"/>
                <w:szCs w:val="18"/>
              </w:rPr>
              <w:t xml:space="preserve">research </w:t>
            </w:r>
            <w:r w:rsidR="00EB32DD" w:rsidRPr="009D31CE">
              <w:rPr>
                <w:rFonts w:ascii="Lucida Sans" w:hAnsi="Lucida Sans"/>
                <w:sz w:val="18"/>
                <w:szCs w:val="18"/>
              </w:rPr>
              <w:t>performance</w:t>
            </w:r>
            <w:r w:rsidR="009D31CE" w:rsidRPr="009D31CE">
              <w:rPr>
                <w:rFonts w:ascii="Lucida Sans" w:hAnsi="Lucida Sans"/>
                <w:sz w:val="18"/>
                <w:szCs w:val="18"/>
              </w:rPr>
              <w:t xml:space="preserve"> and income</w:t>
            </w:r>
            <w:r w:rsidR="00EB32DD" w:rsidRPr="009D31CE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9D31CE" w:rsidRPr="009D31CE">
              <w:rPr>
                <w:rFonts w:ascii="Lucida Sans" w:hAnsi="Lucida Sans"/>
                <w:sz w:val="18"/>
                <w:szCs w:val="18"/>
              </w:rPr>
              <w:t xml:space="preserve">with a portfolio of targeted funders.  </w:t>
            </w:r>
          </w:p>
          <w:p w14:paraId="38832B01" w14:textId="77777777" w:rsidR="007721BD" w:rsidRPr="009D31CE" w:rsidRDefault="007721BD" w:rsidP="00E93B21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18"/>
              </w:rPr>
            </w:pPr>
          </w:p>
        </w:tc>
      </w:tr>
    </w:tbl>
    <w:p w14:paraId="27BA3D5E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011"/>
        <w:gridCol w:w="1018"/>
      </w:tblGrid>
      <w:tr w:rsidR="0012209D" w14:paraId="4137816D" w14:textId="77777777" w:rsidTr="002252DF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2ED0F8D8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21E74B11" w14:textId="77777777" w:rsidR="0012209D" w:rsidRDefault="0012209D" w:rsidP="00321CAA">
            <w:r>
              <w:t>% Time</w:t>
            </w:r>
          </w:p>
        </w:tc>
      </w:tr>
      <w:tr w:rsidR="00157CA1" w:rsidRPr="008646A3" w14:paraId="783706B0" w14:textId="77777777" w:rsidTr="002252DF">
        <w:trPr>
          <w:cantSplit/>
        </w:trPr>
        <w:tc>
          <w:tcPr>
            <w:tcW w:w="598" w:type="dxa"/>
            <w:tcBorders>
              <w:right w:val="nil"/>
            </w:tcBorders>
          </w:tcPr>
          <w:p w14:paraId="096CF98F" w14:textId="77777777" w:rsidR="00157CA1" w:rsidRPr="008646A3" w:rsidRDefault="00157CA1" w:rsidP="00933529">
            <w:pPr>
              <w:pStyle w:val="ListParagraph"/>
              <w:numPr>
                <w:ilvl w:val="0"/>
                <w:numId w:val="17"/>
              </w:numPr>
              <w:jc w:val="both"/>
              <w:rPr>
                <w:szCs w:val="18"/>
              </w:rPr>
            </w:pPr>
          </w:p>
        </w:tc>
        <w:tc>
          <w:tcPr>
            <w:tcW w:w="8011" w:type="dxa"/>
            <w:tcBorders>
              <w:left w:val="nil"/>
            </w:tcBorders>
          </w:tcPr>
          <w:p w14:paraId="34AE96F3" w14:textId="77777777" w:rsidR="002252DF" w:rsidRPr="008646A3" w:rsidRDefault="00B839F8" w:rsidP="00933529">
            <w:pPr>
              <w:pStyle w:val="Default"/>
              <w:jc w:val="both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b/>
                <w:sz w:val="18"/>
                <w:szCs w:val="18"/>
              </w:rPr>
              <w:t xml:space="preserve">Build </w:t>
            </w:r>
            <w:r w:rsidR="00157CA1" w:rsidRPr="008646A3">
              <w:rPr>
                <w:rFonts w:ascii="Lucida Sans" w:hAnsi="Lucida Sans"/>
                <w:b/>
                <w:sz w:val="18"/>
                <w:szCs w:val="18"/>
              </w:rPr>
              <w:t>Relationships with Research Funders</w:t>
            </w:r>
            <w:r w:rsidR="00163641" w:rsidRPr="008646A3">
              <w:rPr>
                <w:rFonts w:ascii="Lucida Sans" w:hAnsi="Lucida Sans"/>
                <w:b/>
                <w:sz w:val="18"/>
                <w:szCs w:val="18"/>
              </w:rPr>
              <w:t xml:space="preserve"> - </w:t>
            </w:r>
            <w:r w:rsidR="002252DF" w:rsidRPr="008646A3">
              <w:rPr>
                <w:rFonts w:ascii="Lucida Sans" w:hAnsi="Lucida Sans"/>
                <w:sz w:val="18"/>
                <w:szCs w:val="18"/>
              </w:rPr>
              <w:t xml:space="preserve">Develop and maintain a high level of knowledge </w:t>
            </w:r>
            <w:r w:rsidR="00163641" w:rsidRPr="008646A3">
              <w:rPr>
                <w:rFonts w:ascii="Lucida Sans" w:hAnsi="Lucida Sans"/>
                <w:sz w:val="18"/>
                <w:szCs w:val="18"/>
              </w:rPr>
              <w:t>of major research funders</w:t>
            </w:r>
            <w:r w:rsidR="002252DF" w:rsidRPr="008646A3">
              <w:rPr>
                <w:rFonts w:ascii="Lucida Sans" w:hAnsi="Lucida Sans"/>
                <w:sz w:val="18"/>
                <w:szCs w:val="18"/>
              </w:rPr>
              <w:t>, building relationships with key programme managers</w:t>
            </w:r>
            <w:r w:rsidR="00163641" w:rsidRPr="008646A3">
              <w:rPr>
                <w:rFonts w:ascii="Lucida Sans" w:hAnsi="Lucida Sans"/>
                <w:sz w:val="18"/>
                <w:szCs w:val="18"/>
              </w:rPr>
              <w:t xml:space="preserve"> and facilitating the active engagement of the research community with targeted funders.  </w:t>
            </w:r>
            <w:r w:rsidR="008646A3" w:rsidRPr="008646A3">
              <w:rPr>
                <w:rFonts w:ascii="Lucida Sans" w:hAnsi="Lucida Sans"/>
                <w:sz w:val="18"/>
                <w:szCs w:val="18"/>
              </w:rPr>
              <w:t xml:space="preserve">Develop and maintain a deep knowledge of targeted funding bodies’ strategy and schemes gathering intelligence </w:t>
            </w:r>
            <w:proofErr w:type="gramStart"/>
            <w:r w:rsidR="008646A3" w:rsidRPr="008646A3">
              <w:rPr>
                <w:rFonts w:ascii="Lucida Sans" w:hAnsi="Lucida Sans"/>
                <w:sz w:val="18"/>
                <w:szCs w:val="18"/>
              </w:rPr>
              <w:t>in order to</w:t>
            </w:r>
            <w:proofErr w:type="gramEnd"/>
            <w:r w:rsidR="008646A3" w:rsidRPr="008646A3">
              <w:rPr>
                <w:rFonts w:ascii="Lucida Sans" w:hAnsi="Lucida Sans"/>
                <w:sz w:val="18"/>
                <w:szCs w:val="18"/>
              </w:rPr>
              <w:t xml:space="preserve"> advise academic staff o</w:t>
            </w:r>
            <w:r w:rsidR="00A710CC">
              <w:rPr>
                <w:rFonts w:ascii="Lucida Sans" w:hAnsi="Lucida Sans"/>
                <w:sz w:val="18"/>
                <w:szCs w:val="18"/>
              </w:rPr>
              <w:t>n</w:t>
            </w:r>
            <w:r w:rsidR="008646A3" w:rsidRPr="008646A3">
              <w:rPr>
                <w:rFonts w:ascii="Lucida Sans" w:hAnsi="Lucida Sans"/>
                <w:sz w:val="18"/>
                <w:szCs w:val="18"/>
              </w:rPr>
              <w:t xml:space="preserve"> forthcoming funding opportunities.</w:t>
            </w:r>
          </w:p>
        </w:tc>
        <w:tc>
          <w:tcPr>
            <w:tcW w:w="1018" w:type="dxa"/>
          </w:tcPr>
          <w:p w14:paraId="28E1C45E" w14:textId="77777777" w:rsidR="00157CA1" w:rsidRPr="008646A3" w:rsidRDefault="00D34C6B" w:rsidP="00933529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2252DF" w:rsidRPr="008646A3">
              <w:rPr>
                <w:szCs w:val="18"/>
              </w:rPr>
              <w:t>%</w:t>
            </w:r>
          </w:p>
        </w:tc>
      </w:tr>
      <w:tr w:rsidR="00842C05" w:rsidRPr="008646A3" w14:paraId="7993D3BB" w14:textId="77777777" w:rsidTr="002252DF">
        <w:trPr>
          <w:cantSplit/>
        </w:trPr>
        <w:tc>
          <w:tcPr>
            <w:tcW w:w="598" w:type="dxa"/>
            <w:tcBorders>
              <w:right w:val="nil"/>
            </w:tcBorders>
          </w:tcPr>
          <w:p w14:paraId="72088525" w14:textId="77777777" w:rsidR="00842C05" w:rsidRPr="008646A3" w:rsidRDefault="00842C05" w:rsidP="00933529">
            <w:pPr>
              <w:pStyle w:val="ListParagraph"/>
              <w:numPr>
                <w:ilvl w:val="0"/>
                <w:numId w:val="17"/>
              </w:numPr>
              <w:jc w:val="both"/>
              <w:rPr>
                <w:szCs w:val="18"/>
              </w:rPr>
            </w:pPr>
          </w:p>
        </w:tc>
        <w:tc>
          <w:tcPr>
            <w:tcW w:w="8011" w:type="dxa"/>
            <w:tcBorders>
              <w:left w:val="nil"/>
            </w:tcBorders>
          </w:tcPr>
          <w:p w14:paraId="4BE8DC58" w14:textId="2BA6D6F3" w:rsidR="00842C05" w:rsidRPr="008646A3" w:rsidRDefault="0030080E" w:rsidP="00A760DE">
            <w:pPr>
              <w:tabs>
                <w:tab w:val="left" w:pos="0"/>
              </w:tabs>
              <w:suppressAutoHyphens/>
              <w:spacing w:before="0" w:after="0"/>
              <w:jc w:val="both"/>
              <w:rPr>
                <w:szCs w:val="18"/>
              </w:rPr>
            </w:pPr>
            <w:r>
              <w:rPr>
                <w:b/>
                <w:szCs w:val="18"/>
              </w:rPr>
              <w:t>Build capacity to access new or complex schemes</w:t>
            </w:r>
            <w:r w:rsidR="007745E4">
              <w:rPr>
                <w:szCs w:val="18"/>
              </w:rPr>
              <w:t xml:space="preserve"> </w:t>
            </w:r>
            <w:r w:rsidR="007745E4" w:rsidRPr="00D41F25">
              <w:rPr>
                <w:b/>
                <w:szCs w:val="18"/>
              </w:rPr>
              <w:t>-</w:t>
            </w:r>
            <w:r w:rsidR="00C129E6">
              <w:rPr>
                <w:szCs w:val="18"/>
              </w:rPr>
              <w:t xml:space="preserve"> </w:t>
            </w:r>
            <w:r w:rsidR="008646A3" w:rsidRPr="008646A3">
              <w:rPr>
                <w:szCs w:val="18"/>
              </w:rPr>
              <w:t xml:space="preserve">Develop a good understanding of the priority research areas across the University </w:t>
            </w:r>
            <w:proofErr w:type="gramStart"/>
            <w:r w:rsidR="008646A3" w:rsidRPr="008646A3">
              <w:rPr>
                <w:szCs w:val="18"/>
              </w:rPr>
              <w:t>in order to</w:t>
            </w:r>
            <w:proofErr w:type="gramEnd"/>
            <w:r w:rsidR="008646A3" w:rsidRPr="008646A3">
              <w:rPr>
                <w:szCs w:val="18"/>
              </w:rPr>
              <w:t xml:space="preserve"> target funding opportunities that have a close fit with individuals’ and institutional research strengths.</w:t>
            </w:r>
            <w:r w:rsidR="00EB32DD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Coordinate and support research facilitation activities that will lead to the preparation of and maximise the success of research applications to targeted funders.  </w:t>
            </w:r>
          </w:p>
        </w:tc>
        <w:tc>
          <w:tcPr>
            <w:tcW w:w="1018" w:type="dxa"/>
          </w:tcPr>
          <w:p w14:paraId="3F59F835" w14:textId="77777777" w:rsidR="00842C05" w:rsidRPr="008646A3" w:rsidRDefault="00D34C6B" w:rsidP="00933529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10%</w:t>
            </w:r>
          </w:p>
        </w:tc>
      </w:tr>
      <w:tr w:rsidR="00842C05" w:rsidRPr="00BC61E0" w14:paraId="01C38E9C" w14:textId="77777777" w:rsidTr="002252DF">
        <w:trPr>
          <w:cantSplit/>
        </w:trPr>
        <w:tc>
          <w:tcPr>
            <w:tcW w:w="598" w:type="dxa"/>
            <w:tcBorders>
              <w:right w:val="nil"/>
            </w:tcBorders>
          </w:tcPr>
          <w:p w14:paraId="372E9BE7" w14:textId="77777777" w:rsidR="00842C05" w:rsidRPr="00BC61E0" w:rsidRDefault="00842C05" w:rsidP="00933529">
            <w:pPr>
              <w:pStyle w:val="ListParagraph"/>
              <w:numPr>
                <w:ilvl w:val="0"/>
                <w:numId w:val="17"/>
              </w:numPr>
              <w:jc w:val="both"/>
              <w:rPr>
                <w:szCs w:val="18"/>
              </w:rPr>
            </w:pPr>
          </w:p>
        </w:tc>
        <w:tc>
          <w:tcPr>
            <w:tcW w:w="8011" w:type="dxa"/>
            <w:tcBorders>
              <w:left w:val="nil"/>
            </w:tcBorders>
          </w:tcPr>
          <w:p w14:paraId="121FC736" w14:textId="6300F6C8" w:rsidR="00842C05" w:rsidRDefault="00A710CC" w:rsidP="00933529">
            <w:pPr>
              <w:pStyle w:val="Default"/>
              <w:jc w:val="both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b/>
                <w:sz w:val="18"/>
                <w:szCs w:val="18"/>
              </w:rPr>
              <w:t>Support to academic</w:t>
            </w:r>
            <w:r w:rsidR="00B52112">
              <w:rPr>
                <w:rFonts w:ascii="Lucida Sans" w:hAnsi="Lucida Sans"/>
                <w:b/>
                <w:sz w:val="18"/>
                <w:szCs w:val="18"/>
              </w:rPr>
              <w:t xml:space="preserve"> staff</w:t>
            </w:r>
            <w:r w:rsidR="00BC61E0" w:rsidRPr="00BC61E0">
              <w:rPr>
                <w:rFonts w:ascii="Lucida Sans" w:hAnsi="Lucida Sans"/>
                <w:b/>
                <w:sz w:val="18"/>
                <w:szCs w:val="18"/>
              </w:rPr>
              <w:t xml:space="preserve"> - </w:t>
            </w:r>
            <w:r w:rsidR="00BC61E0" w:rsidRPr="00BC61E0">
              <w:rPr>
                <w:rFonts w:ascii="Lucida Sans" w:hAnsi="Lucida Sans"/>
                <w:sz w:val="18"/>
                <w:szCs w:val="18"/>
              </w:rPr>
              <w:t>Work closely with</w:t>
            </w:r>
            <w:r w:rsidR="00BC61E0">
              <w:rPr>
                <w:rFonts w:ascii="Lucida Sans" w:hAnsi="Lucida Sans"/>
                <w:sz w:val="18"/>
                <w:szCs w:val="18"/>
              </w:rPr>
              <w:t xml:space="preserve"> and advi</w:t>
            </w:r>
            <w:r w:rsidR="00B40395">
              <w:rPr>
                <w:rFonts w:ascii="Lucida Sans" w:hAnsi="Lucida Sans"/>
                <w:sz w:val="18"/>
                <w:szCs w:val="18"/>
              </w:rPr>
              <w:t>s</w:t>
            </w:r>
            <w:r w:rsidR="00BC61E0">
              <w:rPr>
                <w:rFonts w:ascii="Lucida Sans" w:hAnsi="Lucida Sans"/>
                <w:sz w:val="18"/>
                <w:szCs w:val="18"/>
              </w:rPr>
              <w:t>e</w:t>
            </w:r>
            <w:r w:rsidR="00BC61E0" w:rsidRPr="00BC61E0">
              <w:rPr>
                <w:rFonts w:ascii="Lucida Sans" w:hAnsi="Lucida Sans"/>
                <w:sz w:val="18"/>
                <w:szCs w:val="18"/>
              </w:rPr>
              <w:t xml:space="preserve"> academic staff</w:t>
            </w:r>
            <w:r w:rsidR="00BC61E0">
              <w:rPr>
                <w:rFonts w:ascii="Lucida Sans" w:hAnsi="Lucida Sans"/>
                <w:sz w:val="18"/>
                <w:szCs w:val="18"/>
              </w:rPr>
              <w:t xml:space="preserve"> new to securing external research funding</w:t>
            </w:r>
            <w:r w:rsidR="003C3E53">
              <w:rPr>
                <w:rFonts w:ascii="Lucida Sans" w:hAnsi="Lucida Sans"/>
                <w:sz w:val="18"/>
                <w:szCs w:val="18"/>
              </w:rPr>
              <w:t xml:space="preserve">, new to specific funders </w:t>
            </w:r>
            <w:r w:rsidR="00033C7F">
              <w:rPr>
                <w:rFonts w:ascii="Lucida Sans" w:hAnsi="Lucida Sans"/>
                <w:sz w:val="18"/>
                <w:szCs w:val="18"/>
              </w:rPr>
              <w:t xml:space="preserve">or identified </w:t>
            </w:r>
            <w:r w:rsidR="00033C7F" w:rsidRPr="00D41F25">
              <w:rPr>
                <w:rFonts w:ascii="Lucida Sans" w:hAnsi="Lucida Sans"/>
                <w:sz w:val="18"/>
                <w:szCs w:val="18"/>
              </w:rPr>
              <w:t xml:space="preserve">as </w:t>
            </w:r>
            <w:r w:rsidR="00933529">
              <w:rPr>
                <w:rFonts w:ascii="Lucida Sans" w:hAnsi="Lucida Sans"/>
                <w:sz w:val="18"/>
                <w:szCs w:val="18"/>
              </w:rPr>
              <w:t>priority</w:t>
            </w:r>
            <w:r w:rsidR="00033C7F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3C3E53">
              <w:rPr>
                <w:rFonts w:ascii="Lucida Sans" w:hAnsi="Lucida Sans"/>
                <w:sz w:val="18"/>
                <w:szCs w:val="18"/>
              </w:rPr>
              <w:t xml:space="preserve">for support </w:t>
            </w:r>
            <w:r w:rsidR="00033C7F">
              <w:rPr>
                <w:rFonts w:ascii="Lucida Sans" w:hAnsi="Lucida Sans"/>
                <w:sz w:val="18"/>
                <w:szCs w:val="18"/>
              </w:rPr>
              <w:t>by Faculties</w:t>
            </w:r>
            <w:r w:rsidR="0030080E">
              <w:rPr>
                <w:rFonts w:ascii="Lucida Sans" w:hAnsi="Lucida Sans"/>
                <w:sz w:val="18"/>
                <w:szCs w:val="18"/>
              </w:rPr>
              <w:t>)</w:t>
            </w:r>
            <w:r w:rsidR="00033C7F">
              <w:rPr>
                <w:rFonts w:ascii="Lucida Sans" w:hAnsi="Lucida Sans"/>
                <w:sz w:val="18"/>
                <w:szCs w:val="18"/>
              </w:rPr>
              <w:t>,</w:t>
            </w:r>
            <w:r>
              <w:rPr>
                <w:rFonts w:ascii="Lucida Sans" w:hAnsi="Lucida Sans"/>
                <w:sz w:val="18"/>
                <w:szCs w:val="18"/>
              </w:rPr>
              <w:t xml:space="preserve"> in the preparation of their first bids</w:t>
            </w:r>
            <w:r w:rsidR="00033C7F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BC61E0" w:rsidRPr="00BC61E0">
              <w:rPr>
                <w:rFonts w:ascii="Lucida Sans" w:hAnsi="Lucida Sans"/>
                <w:sz w:val="18"/>
                <w:szCs w:val="18"/>
              </w:rPr>
              <w:t>(</w:t>
            </w:r>
            <w:r w:rsidR="007745E4">
              <w:rPr>
                <w:rFonts w:ascii="Lucida Sans" w:hAnsi="Lucida Sans"/>
                <w:sz w:val="18"/>
                <w:szCs w:val="18"/>
              </w:rPr>
              <w:t xml:space="preserve">e.g. </w:t>
            </w:r>
            <w:r w:rsidR="00BC61E0" w:rsidRPr="00BC61E0">
              <w:rPr>
                <w:rFonts w:ascii="Lucida Sans" w:hAnsi="Lucida Sans"/>
                <w:sz w:val="18"/>
                <w:szCs w:val="18"/>
              </w:rPr>
              <w:t>first</w:t>
            </w:r>
            <w:r w:rsidR="007745E4">
              <w:rPr>
                <w:rFonts w:ascii="Lucida Sans" w:hAnsi="Lucida Sans"/>
                <w:sz w:val="18"/>
                <w:szCs w:val="18"/>
              </w:rPr>
              <w:t xml:space="preserve"> research</w:t>
            </w:r>
            <w:r w:rsidR="00BC61E0" w:rsidRPr="00BC61E0">
              <w:rPr>
                <w:rFonts w:ascii="Lucida Sans" w:hAnsi="Lucida Sans"/>
                <w:sz w:val="18"/>
                <w:szCs w:val="18"/>
              </w:rPr>
              <w:t xml:space="preserve"> grants </w:t>
            </w:r>
            <w:r w:rsidR="007745E4">
              <w:rPr>
                <w:rFonts w:ascii="Lucida Sans" w:hAnsi="Lucida Sans"/>
                <w:sz w:val="18"/>
                <w:szCs w:val="18"/>
              </w:rPr>
              <w:t>or</w:t>
            </w:r>
            <w:r w:rsidR="00BC61E0" w:rsidRPr="00BC61E0">
              <w:rPr>
                <w:rFonts w:ascii="Lucida Sans" w:hAnsi="Lucida Sans"/>
                <w:sz w:val="18"/>
                <w:szCs w:val="18"/>
              </w:rPr>
              <w:t xml:space="preserve"> fellowships)</w:t>
            </w:r>
            <w:r w:rsidR="00033C7F">
              <w:rPr>
                <w:rFonts w:ascii="Lucida Sans" w:hAnsi="Lucida Sans"/>
                <w:sz w:val="18"/>
                <w:szCs w:val="18"/>
              </w:rPr>
              <w:t xml:space="preserve">.  This may include advice on funding strategy and schemes, </w:t>
            </w:r>
            <w:r w:rsidR="00BC61E0" w:rsidRPr="00BC61E0">
              <w:rPr>
                <w:rFonts w:ascii="Lucida Sans" w:hAnsi="Lucida Sans"/>
                <w:sz w:val="18"/>
                <w:szCs w:val="18"/>
              </w:rPr>
              <w:t>application procedures</w:t>
            </w:r>
            <w:r w:rsidR="007131DC">
              <w:rPr>
                <w:rFonts w:ascii="Lucida Sans" w:hAnsi="Lucida Sans"/>
                <w:sz w:val="18"/>
                <w:szCs w:val="18"/>
              </w:rPr>
              <w:t>,</w:t>
            </w:r>
            <w:r w:rsidR="00033C7F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BC61E0" w:rsidRPr="00BC61E0">
              <w:rPr>
                <w:rFonts w:ascii="Lucida Sans" w:hAnsi="Lucida Sans"/>
                <w:sz w:val="18"/>
                <w:szCs w:val="18"/>
              </w:rPr>
              <w:t>ensuring bids meet eligibility and evaluation criteria of the funder</w:t>
            </w:r>
            <w:r w:rsidR="00B40395">
              <w:rPr>
                <w:rFonts w:ascii="Lucida Sans" w:hAnsi="Lucida Sans"/>
                <w:sz w:val="18"/>
                <w:szCs w:val="18"/>
              </w:rPr>
              <w:t>,</w:t>
            </w:r>
            <w:r w:rsidR="00BC61E0">
              <w:rPr>
                <w:rFonts w:ascii="Lucida Sans" w:hAnsi="Lucida Sans"/>
                <w:sz w:val="18"/>
                <w:szCs w:val="18"/>
              </w:rPr>
              <w:t xml:space="preserve"> and are of high quality</w:t>
            </w:r>
            <w:r w:rsidR="00BC61E0" w:rsidRPr="00BC61E0">
              <w:rPr>
                <w:rFonts w:ascii="Lucida Sans" w:hAnsi="Lucida Sans"/>
                <w:sz w:val="18"/>
                <w:szCs w:val="18"/>
              </w:rPr>
              <w:t xml:space="preserve">. </w:t>
            </w:r>
          </w:p>
          <w:p w14:paraId="682A115F" w14:textId="77777777" w:rsidR="00E93B21" w:rsidRPr="00BC61E0" w:rsidRDefault="00E93B21" w:rsidP="00933529">
            <w:pPr>
              <w:pStyle w:val="Default"/>
              <w:jc w:val="both"/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1018" w:type="dxa"/>
          </w:tcPr>
          <w:p w14:paraId="30E9508A" w14:textId="46115FA5" w:rsidR="00842C05" w:rsidRPr="00BC61E0" w:rsidRDefault="001A4DC8" w:rsidP="00933529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4</w:t>
            </w:r>
            <w:r w:rsidR="00D34C6B">
              <w:rPr>
                <w:szCs w:val="18"/>
              </w:rPr>
              <w:t>0%</w:t>
            </w:r>
          </w:p>
        </w:tc>
      </w:tr>
      <w:tr w:rsidR="00A710CC" w:rsidRPr="00A760DE" w14:paraId="5DB1DF27" w14:textId="77777777" w:rsidTr="002252DF">
        <w:trPr>
          <w:cantSplit/>
        </w:trPr>
        <w:tc>
          <w:tcPr>
            <w:tcW w:w="598" w:type="dxa"/>
            <w:tcBorders>
              <w:right w:val="nil"/>
            </w:tcBorders>
          </w:tcPr>
          <w:p w14:paraId="4642AD4B" w14:textId="77777777" w:rsidR="00A710CC" w:rsidRPr="00A760DE" w:rsidRDefault="00A710CC" w:rsidP="00933529">
            <w:pPr>
              <w:pStyle w:val="ListParagraph"/>
              <w:numPr>
                <w:ilvl w:val="0"/>
                <w:numId w:val="17"/>
              </w:numPr>
              <w:jc w:val="both"/>
              <w:rPr>
                <w:szCs w:val="18"/>
              </w:rPr>
            </w:pPr>
          </w:p>
        </w:tc>
        <w:tc>
          <w:tcPr>
            <w:tcW w:w="8011" w:type="dxa"/>
            <w:tcBorders>
              <w:left w:val="nil"/>
            </w:tcBorders>
          </w:tcPr>
          <w:p w14:paraId="06FF000D" w14:textId="0513A630" w:rsidR="0030080E" w:rsidRPr="00A760DE" w:rsidRDefault="00A710CC" w:rsidP="00CC092D">
            <w:pPr>
              <w:pStyle w:val="Default"/>
              <w:jc w:val="both"/>
              <w:rPr>
                <w:rFonts w:ascii="Lucida Sans" w:hAnsi="Lucida Sans"/>
                <w:b/>
                <w:sz w:val="18"/>
                <w:szCs w:val="18"/>
              </w:rPr>
            </w:pPr>
            <w:r w:rsidRPr="00A760DE">
              <w:rPr>
                <w:rFonts w:ascii="Lucida Sans" w:hAnsi="Lucida Sans"/>
                <w:b/>
                <w:sz w:val="18"/>
                <w:szCs w:val="18"/>
              </w:rPr>
              <w:t>Implement initiatives to maximise the institution’s success in securing research funding</w:t>
            </w:r>
            <w:r w:rsidR="007745E4">
              <w:rPr>
                <w:rFonts w:ascii="Lucida Sans" w:hAnsi="Lucida Sans"/>
                <w:b/>
                <w:sz w:val="18"/>
                <w:szCs w:val="18"/>
              </w:rPr>
              <w:t xml:space="preserve"> </w:t>
            </w:r>
            <w:r w:rsidR="007745E4" w:rsidRPr="007745E4">
              <w:rPr>
                <w:rFonts w:ascii="Lucida Sans" w:hAnsi="Lucida Sans"/>
                <w:b/>
                <w:sz w:val="18"/>
                <w:szCs w:val="18"/>
              </w:rPr>
              <w:t>-</w:t>
            </w:r>
            <w:r w:rsidR="0030080E" w:rsidRPr="00A760DE">
              <w:rPr>
                <w:rFonts w:ascii="Lucida Sans" w:hAnsi="Lucida Sans"/>
                <w:b/>
                <w:sz w:val="18"/>
                <w:szCs w:val="18"/>
              </w:rPr>
              <w:t xml:space="preserve"> </w:t>
            </w:r>
            <w:r w:rsidR="0030080E" w:rsidRPr="00A760DE">
              <w:rPr>
                <w:rFonts w:ascii="Lucida Sans" w:hAnsi="Lucida Sans"/>
                <w:sz w:val="18"/>
                <w:szCs w:val="18"/>
              </w:rPr>
              <w:t xml:space="preserve">(targeting areas of strength, </w:t>
            </w:r>
            <w:proofErr w:type="gramStart"/>
            <w:r w:rsidR="0030080E" w:rsidRPr="00A760DE">
              <w:rPr>
                <w:rFonts w:ascii="Lucida Sans" w:hAnsi="Lucida Sans"/>
                <w:sz w:val="18"/>
                <w:szCs w:val="18"/>
              </w:rPr>
              <w:t>identifying</w:t>
            </w:r>
            <w:proofErr w:type="gramEnd"/>
            <w:r w:rsidR="0030080E" w:rsidRPr="00A760DE">
              <w:rPr>
                <w:rFonts w:ascii="Lucida Sans" w:hAnsi="Lucida Sans"/>
                <w:sz w:val="18"/>
                <w:szCs w:val="18"/>
              </w:rPr>
              <w:t xml:space="preserve"> and nurturing talent, sharing good practice).</w:t>
            </w:r>
            <w:r w:rsidR="00485225" w:rsidRPr="00A760DE">
              <w:rPr>
                <w:rFonts w:ascii="Lucida Sans" w:hAnsi="Lucida Sans"/>
                <w:sz w:val="18"/>
                <w:szCs w:val="18"/>
              </w:rPr>
              <w:t xml:space="preserve">  </w:t>
            </w:r>
            <w:r w:rsidR="00A760DE" w:rsidRPr="00A760DE">
              <w:rPr>
                <w:rFonts w:ascii="Lucida Sans" w:hAnsi="Lucida Sans"/>
                <w:sz w:val="18"/>
                <w:szCs w:val="18"/>
              </w:rPr>
              <w:t xml:space="preserve">Work in close partnership with </w:t>
            </w:r>
            <w:r w:rsidR="00167CBB">
              <w:rPr>
                <w:rFonts w:ascii="Lucida Sans" w:hAnsi="Lucida Sans"/>
                <w:sz w:val="18"/>
                <w:szCs w:val="18"/>
              </w:rPr>
              <w:t>Deputy Heads of School Research</w:t>
            </w:r>
            <w:r w:rsidR="00A760DE" w:rsidRPr="00A760DE">
              <w:rPr>
                <w:rFonts w:ascii="Lucida Sans" w:hAnsi="Lucida Sans"/>
                <w:sz w:val="18"/>
                <w:szCs w:val="18"/>
              </w:rPr>
              <w:t xml:space="preserve"> to</w:t>
            </w:r>
            <w:r w:rsidR="00C21499">
              <w:rPr>
                <w:rFonts w:ascii="Lucida Sans" w:hAnsi="Lucida Sans"/>
                <w:sz w:val="18"/>
                <w:szCs w:val="18"/>
              </w:rPr>
              <w:t xml:space="preserve"> support their research strategy and </w:t>
            </w:r>
            <w:r w:rsidR="00A760DE" w:rsidRPr="00A760DE">
              <w:rPr>
                <w:rFonts w:ascii="Lucida Sans" w:hAnsi="Lucida Sans"/>
                <w:sz w:val="18"/>
                <w:szCs w:val="18"/>
              </w:rPr>
              <w:t>inform priorities across the Research Funding Development team.</w:t>
            </w:r>
            <w:r w:rsidR="00B40395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1A4DC8" w:rsidRPr="00A760DE">
              <w:rPr>
                <w:rFonts w:ascii="Lucida Sans" w:hAnsi="Lucida Sans"/>
                <w:sz w:val="18"/>
                <w:szCs w:val="18"/>
              </w:rPr>
              <w:t>Provide training and develop support to academic colleagues, through regular briefings and contributions to training programmes.</w:t>
            </w:r>
            <w:r w:rsidR="001A4DC8" w:rsidRPr="00A760DE">
              <w:rPr>
                <w:rFonts w:ascii="Lucida Sans" w:hAnsi="Lucida Sans"/>
                <w:b/>
                <w:sz w:val="18"/>
                <w:szCs w:val="18"/>
              </w:rPr>
              <w:t xml:space="preserve"> </w:t>
            </w:r>
            <w:r w:rsidR="00485225" w:rsidRPr="00A760DE">
              <w:rPr>
                <w:rFonts w:ascii="Lucida Sans" w:hAnsi="Lucida Sans"/>
                <w:sz w:val="18"/>
                <w:szCs w:val="18"/>
              </w:rPr>
              <w:t>Act as the lead for coordination of specif</w:t>
            </w:r>
            <w:r w:rsidR="00933529" w:rsidRPr="00A760DE">
              <w:rPr>
                <w:rFonts w:ascii="Lucida Sans" w:hAnsi="Lucida Sans"/>
                <w:sz w:val="18"/>
                <w:szCs w:val="18"/>
              </w:rPr>
              <w:t>ic</w:t>
            </w:r>
            <w:r w:rsidR="00C21499">
              <w:rPr>
                <w:rFonts w:ascii="Lucida Sans" w:hAnsi="Lucida Sans"/>
                <w:sz w:val="18"/>
                <w:szCs w:val="18"/>
              </w:rPr>
              <w:t xml:space="preserve"> schemes and</w:t>
            </w:r>
            <w:r w:rsidR="00933529" w:rsidRPr="00A760DE">
              <w:rPr>
                <w:rFonts w:ascii="Lucida Sans" w:hAnsi="Lucida Sans"/>
                <w:sz w:val="18"/>
                <w:szCs w:val="18"/>
              </w:rPr>
              <w:t xml:space="preserve"> research funding activities such as performance analysis, demand management, institutional quotas</w:t>
            </w:r>
            <w:r w:rsidR="00D41F25">
              <w:rPr>
                <w:rFonts w:ascii="Lucida Sans" w:hAnsi="Lucida Sans"/>
                <w:sz w:val="18"/>
                <w:szCs w:val="18"/>
              </w:rPr>
              <w:t xml:space="preserve">, </w:t>
            </w:r>
            <w:r w:rsidR="00CC092D">
              <w:rPr>
                <w:rFonts w:ascii="Lucida Sans" w:hAnsi="Lucida Sans"/>
                <w:sz w:val="18"/>
                <w:szCs w:val="18"/>
              </w:rPr>
              <w:t>f</w:t>
            </w:r>
            <w:r w:rsidR="00933529" w:rsidRPr="00A760DE">
              <w:rPr>
                <w:rFonts w:ascii="Lucida Sans" w:hAnsi="Lucida Sans"/>
                <w:sz w:val="18"/>
                <w:szCs w:val="18"/>
              </w:rPr>
              <w:t>ellowship pipeline</w:t>
            </w:r>
            <w:r w:rsidR="00CC092D">
              <w:rPr>
                <w:rFonts w:ascii="Lucida Sans" w:hAnsi="Lucida Sans"/>
                <w:sz w:val="18"/>
                <w:szCs w:val="18"/>
              </w:rPr>
              <w:t xml:space="preserve"> or doctoral training partnership management</w:t>
            </w:r>
            <w:r w:rsidR="00933529" w:rsidRPr="00A760DE">
              <w:rPr>
                <w:rFonts w:ascii="Lucida Sans" w:hAnsi="Lucida Sans"/>
                <w:sz w:val="18"/>
                <w:szCs w:val="18"/>
              </w:rPr>
              <w:t xml:space="preserve">.   </w:t>
            </w:r>
          </w:p>
        </w:tc>
        <w:tc>
          <w:tcPr>
            <w:tcW w:w="1018" w:type="dxa"/>
          </w:tcPr>
          <w:p w14:paraId="7FB1A91E" w14:textId="025086B0" w:rsidR="00A710CC" w:rsidRPr="00A760DE" w:rsidRDefault="001A4DC8" w:rsidP="00933529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3</w:t>
            </w:r>
            <w:r w:rsidR="00D34C6B">
              <w:rPr>
                <w:szCs w:val="18"/>
              </w:rPr>
              <w:t>0%</w:t>
            </w:r>
          </w:p>
        </w:tc>
      </w:tr>
      <w:tr w:rsidR="00A710CC" w:rsidRPr="00033C7F" w14:paraId="7F6AC7D8" w14:textId="77777777" w:rsidTr="002252DF">
        <w:trPr>
          <w:cantSplit/>
        </w:trPr>
        <w:tc>
          <w:tcPr>
            <w:tcW w:w="598" w:type="dxa"/>
            <w:tcBorders>
              <w:right w:val="nil"/>
            </w:tcBorders>
          </w:tcPr>
          <w:p w14:paraId="0BCAD3BB" w14:textId="77777777" w:rsidR="00A710CC" w:rsidRPr="00033C7F" w:rsidRDefault="00A710CC" w:rsidP="00933529">
            <w:pPr>
              <w:pStyle w:val="ListParagraph"/>
              <w:numPr>
                <w:ilvl w:val="0"/>
                <w:numId w:val="17"/>
              </w:numPr>
              <w:jc w:val="both"/>
              <w:rPr>
                <w:szCs w:val="18"/>
              </w:rPr>
            </w:pPr>
          </w:p>
        </w:tc>
        <w:tc>
          <w:tcPr>
            <w:tcW w:w="8011" w:type="dxa"/>
            <w:tcBorders>
              <w:left w:val="nil"/>
            </w:tcBorders>
          </w:tcPr>
          <w:p w14:paraId="7F296A5F" w14:textId="34D4D61D" w:rsidR="00A710CC" w:rsidRPr="00033C7F" w:rsidRDefault="00A710CC" w:rsidP="003C3E53">
            <w:pPr>
              <w:pStyle w:val="Default"/>
              <w:jc w:val="both"/>
              <w:rPr>
                <w:rFonts w:ascii="Lucida Sans" w:hAnsi="Lucida Sans"/>
                <w:b/>
                <w:sz w:val="18"/>
                <w:szCs w:val="18"/>
              </w:rPr>
            </w:pPr>
            <w:r w:rsidRPr="00033C7F">
              <w:rPr>
                <w:rFonts w:ascii="Lucida Sans" w:hAnsi="Lucida Sans"/>
                <w:b/>
                <w:sz w:val="18"/>
                <w:szCs w:val="18"/>
              </w:rPr>
              <w:t xml:space="preserve">Develop resources </w:t>
            </w:r>
            <w:r w:rsidR="007745E4">
              <w:rPr>
                <w:rFonts w:ascii="Lucida Sans" w:hAnsi="Lucida Sans"/>
                <w:b/>
                <w:sz w:val="18"/>
                <w:szCs w:val="18"/>
              </w:rPr>
              <w:t>-</w:t>
            </w:r>
            <w:r w:rsidRPr="00033C7F">
              <w:rPr>
                <w:rFonts w:ascii="Lucida Sans" w:hAnsi="Lucida Sans"/>
                <w:b/>
                <w:sz w:val="18"/>
                <w:szCs w:val="18"/>
              </w:rPr>
              <w:t xml:space="preserve"> </w:t>
            </w:r>
            <w:r w:rsidRPr="00033C7F">
              <w:rPr>
                <w:rFonts w:ascii="Lucida Sans" w:hAnsi="Lucida Sans"/>
                <w:sz w:val="18"/>
                <w:szCs w:val="18"/>
              </w:rPr>
              <w:t xml:space="preserve">Design and implement resources, </w:t>
            </w:r>
            <w:proofErr w:type="gramStart"/>
            <w:r w:rsidRPr="00033C7F">
              <w:rPr>
                <w:rFonts w:ascii="Lucida Sans" w:hAnsi="Lucida Sans"/>
                <w:sz w:val="18"/>
                <w:szCs w:val="18"/>
              </w:rPr>
              <w:t>guidance</w:t>
            </w:r>
            <w:proofErr w:type="gramEnd"/>
            <w:r w:rsidRPr="00033C7F">
              <w:rPr>
                <w:rFonts w:ascii="Lucida Sans" w:hAnsi="Lucida Sans"/>
                <w:sz w:val="18"/>
                <w:szCs w:val="18"/>
              </w:rPr>
              <w:t xml:space="preserve"> and on-line tools for use by academic and administrative colleagues in developing successful funding applications.  </w:t>
            </w:r>
            <w:r w:rsidR="00485225">
              <w:rPr>
                <w:rFonts w:ascii="Lucida Sans" w:hAnsi="Lucida Sans"/>
                <w:sz w:val="18"/>
                <w:szCs w:val="18"/>
              </w:rPr>
              <w:t xml:space="preserve">Develop a repository of reference material </w:t>
            </w:r>
            <w:r w:rsidR="00933529">
              <w:rPr>
                <w:rFonts w:ascii="Lucida Sans" w:hAnsi="Lucida Sans"/>
                <w:sz w:val="18"/>
                <w:szCs w:val="18"/>
              </w:rPr>
              <w:t xml:space="preserve">accessible to academic colleagues seeking external funding for their research.  This </w:t>
            </w:r>
            <w:r w:rsidR="001E30C3">
              <w:rPr>
                <w:rFonts w:ascii="Lucida Sans" w:hAnsi="Lucida Sans"/>
                <w:sz w:val="18"/>
                <w:szCs w:val="18"/>
              </w:rPr>
              <w:t xml:space="preserve">may include </w:t>
            </w:r>
            <w:r w:rsidR="00167CBB">
              <w:rPr>
                <w:rFonts w:ascii="Lucida Sans" w:hAnsi="Lucida Sans"/>
                <w:sz w:val="18"/>
                <w:szCs w:val="18"/>
              </w:rPr>
              <w:t>RIS Sharepoint site</w:t>
            </w:r>
            <w:r w:rsidRPr="00033C7F">
              <w:rPr>
                <w:rFonts w:ascii="Lucida Sans" w:hAnsi="Lucida Sans"/>
                <w:sz w:val="18"/>
                <w:szCs w:val="18"/>
              </w:rPr>
              <w:t xml:space="preserve">, bid libraries, </w:t>
            </w:r>
            <w:r w:rsidR="00033C7F">
              <w:rPr>
                <w:rFonts w:ascii="Lucida Sans" w:hAnsi="Lucida Sans"/>
                <w:sz w:val="18"/>
                <w:szCs w:val="18"/>
              </w:rPr>
              <w:t xml:space="preserve">standard </w:t>
            </w:r>
            <w:proofErr w:type="gramStart"/>
            <w:r w:rsidR="00033C7F">
              <w:rPr>
                <w:rFonts w:ascii="Lucida Sans" w:hAnsi="Lucida Sans"/>
                <w:sz w:val="18"/>
                <w:szCs w:val="18"/>
              </w:rPr>
              <w:t>text</w:t>
            </w:r>
            <w:proofErr w:type="gramEnd"/>
            <w:r w:rsidRPr="00033C7F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033C7F">
              <w:rPr>
                <w:rFonts w:ascii="Lucida Sans" w:hAnsi="Lucida Sans"/>
                <w:sz w:val="18"/>
                <w:szCs w:val="18"/>
              </w:rPr>
              <w:t xml:space="preserve">and track-record data.  </w:t>
            </w:r>
            <w:r w:rsidRPr="00033C7F">
              <w:rPr>
                <w:rFonts w:ascii="Lucida Sans" w:hAnsi="Lucida Sans"/>
                <w:sz w:val="18"/>
                <w:szCs w:val="18"/>
              </w:rPr>
              <w:t xml:space="preserve">Ensure the optimum use of </w:t>
            </w:r>
            <w:r w:rsidR="003C3E53">
              <w:rPr>
                <w:rFonts w:ascii="Lucida Sans" w:hAnsi="Lucida Sans"/>
                <w:sz w:val="18"/>
                <w:szCs w:val="18"/>
              </w:rPr>
              <w:t xml:space="preserve">subscriptions funding opportunities resources such as </w:t>
            </w:r>
            <w:r w:rsidRPr="00033C7F">
              <w:rPr>
                <w:rFonts w:ascii="Lucida Sans" w:hAnsi="Lucida Sans"/>
                <w:sz w:val="18"/>
                <w:szCs w:val="18"/>
              </w:rPr>
              <w:t xml:space="preserve">Research </w:t>
            </w:r>
            <w:r w:rsidR="003A7176">
              <w:rPr>
                <w:rFonts w:ascii="Lucida Sans" w:hAnsi="Lucida Sans"/>
                <w:sz w:val="18"/>
                <w:szCs w:val="18"/>
              </w:rPr>
              <w:t>Connect</w:t>
            </w:r>
            <w:r w:rsidR="003C3E53">
              <w:rPr>
                <w:rFonts w:ascii="Lucida Sans" w:hAnsi="Lucida Sans"/>
                <w:sz w:val="18"/>
                <w:szCs w:val="18"/>
              </w:rPr>
              <w:t xml:space="preserve"> or UK</w:t>
            </w:r>
            <w:r w:rsidR="00B52112">
              <w:rPr>
                <w:rFonts w:ascii="Lucida Sans" w:hAnsi="Lucida Sans"/>
                <w:sz w:val="18"/>
                <w:szCs w:val="18"/>
              </w:rPr>
              <w:t xml:space="preserve"> Research Office (UK</w:t>
            </w:r>
            <w:r w:rsidR="003C3E53">
              <w:rPr>
                <w:rFonts w:ascii="Lucida Sans" w:hAnsi="Lucida Sans"/>
                <w:sz w:val="18"/>
                <w:szCs w:val="18"/>
              </w:rPr>
              <w:t>RO</w:t>
            </w:r>
            <w:r w:rsidR="00B52112">
              <w:rPr>
                <w:rFonts w:ascii="Lucida Sans" w:hAnsi="Lucida Sans"/>
                <w:sz w:val="18"/>
                <w:szCs w:val="18"/>
              </w:rPr>
              <w:t>)</w:t>
            </w:r>
            <w:r w:rsidR="00D34C6B">
              <w:rPr>
                <w:rFonts w:ascii="Lucida Sans" w:hAnsi="Lucida Sans"/>
                <w:sz w:val="18"/>
                <w:szCs w:val="18"/>
              </w:rPr>
              <w:t>,</w:t>
            </w:r>
            <w:r w:rsidRPr="00033C7F">
              <w:rPr>
                <w:rFonts w:ascii="Lucida Sans" w:hAnsi="Lucida Sans"/>
                <w:sz w:val="18"/>
                <w:szCs w:val="18"/>
              </w:rPr>
              <w:t xml:space="preserve"> and of communication channels that will keep the academic community </w:t>
            </w:r>
            <w:proofErr w:type="gramStart"/>
            <w:r w:rsidRPr="00033C7F">
              <w:rPr>
                <w:rFonts w:ascii="Lucida Sans" w:hAnsi="Lucida Sans"/>
                <w:sz w:val="18"/>
                <w:szCs w:val="18"/>
              </w:rPr>
              <w:t>up-to-date</w:t>
            </w:r>
            <w:proofErr w:type="gramEnd"/>
            <w:r w:rsidRPr="00033C7F">
              <w:rPr>
                <w:rFonts w:ascii="Lucida Sans" w:hAnsi="Lucida Sans"/>
                <w:sz w:val="18"/>
                <w:szCs w:val="18"/>
              </w:rPr>
              <w:t xml:space="preserve"> on forthcoming funding opportunities</w:t>
            </w:r>
            <w:r w:rsidR="00033C7F">
              <w:rPr>
                <w:rFonts w:ascii="Lucida Sans" w:hAnsi="Lucida Sans"/>
                <w:sz w:val="18"/>
                <w:szCs w:val="18"/>
              </w:rPr>
              <w:t xml:space="preserve"> and resources available</w:t>
            </w:r>
            <w:r w:rsidRPr="00033C7F">
              <w:rPr>
                <w:rFonts w:ascii="Lucida Sans" w:hAnsi="Lucida Sans"/>
                <w:sz w:val="18"/>
                <w:szCs w:val="18"/>
              </w:rPr>
              <w:t>.</w:t>
            </w:r>
          </w:p>
        </w:tc>
        <w:tc>
          <w:tcPr>
            <w:tcW w:w="1018" w:type="dxa"/>
          </w:tcPr>
          <w:p w14:paraId="72E2BC9D" w14:textId="77777777" w:rsidR="00A710CC" w:rsidRPr="00033C7F" w:rsidRDefault="00D34C6B" w:rsidP="00933529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10%</w:t>
            </w:r>
          </w:p>
        </w:tc>
      </w:tr>
      <w:tr w:rsidR="003C706B" w14:paraId="61BB2881" w14:textId="77777777" w:rsidTr="002252DF">
        <w:trPr>
          <w:cantSplit/>
        </w:trPr>
        <w:tc>
          <w:tcPr>
            <w:tcW w:w="598" w:type="dxa"/>
            <w:tcBorders>
              <w:right w:val="nil"/>
            </w:tcBorders>
          </w:tcPr>
          <w:p w14:paraId="3E81B091" w14:textId="77777777" w:rsidR="003C706B" w:rsidRDefault="001E30C3" w:rsidP="001E30C3">
            <w:r>
              <w:t>6.</w:t>
            </w:r>
          </w:p>
        </w:tc>
        <w:tc>
          <w:tcPr>
            <w:tcW w:w="8011" w:type="dxa"/>
            <w:tcBorders>
              <w:left w:val="nil"/>
            </w:tcBorders>
          </w:tcPr>
          <w:p w14:paraId="105F7156" w14:textId="77777777" w:rsidR="003C706B" w:rsidRPr="00343D93" w:rsidRDefault="003C706B" w:rsidP="00A710CC">
            <w:r w:rsidRPr="00343D93">
              <w:t>Any other duties as allocated by the line manager following consultation with the post holder.</w:t>
            </w:r>
            <w:r w:rsidR="00842C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8" w:type="dxa"/>
          </w:tcPr>
          <w:p w14:paraId="388BAEBC" w14:textId="3708519D" w:rsidR="003C706B" w:rsidRDefault="002252DF" w:rsidP="00B52112">
            <w:r>
              <w:t xml:space="preserve"> </w:t>
            </w:r>
          </w:p>
        </w:tc>
      </w:tr>
    </w:tbl>
    <w:p w14:paraId="640DBE45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5A8FAB28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E493BFF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:rsidRPr="00E93B21" w14:paraId="22E2B526" w14:textId="77777777" w:rsidTr="00321CAA">
        <w:trPr>
          <w:trHeight w:val="1134"/>
        </w:trPr>
        <w:tc>
          <w:tcPr>
            <w:tcW w:w="10137" w:type="dxa"/>
          </w:tcPr>
          <w:p w14:paraId="54A611BE" w14:textId="3232990C" w:rsidR="00A760DE" w:rsidRPr="00E93B21" w:rsidRDefault="00A760DE" w:rsidP="00E93B21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E93B21">
              <w:rPr>
                <w:szCs w:val="18"/>
              </w:rPr>
              <w:t xml:space="preserve">Research funding bodies – especially </w:t>
            </w:r>
            <w:r w:rsidR="00B52112">
              <w:rPr>
                <w:szCs w:val="18"/>
              </w:rPr>
              <w:t>UK Research and Innovation (</w:t>
            </w:r>
            <w:r w:rsidR="00B40395">
              <w:rPr>
                <w:szCs w:val="18"/>
              </w:rPr>
              <w:t>UKRI</w:t>
            </w:r>
            <w:r w:rsidR="00B52112">
              <w:rPr>
                <w:szCs w:val="18"/>
              </w:rPr>
              <w:t>)</w:t>
            </w:r>
            <w:r w:rsidRPr="00E93B21">
              <w:rPr>
                <w:szCs w:val="18"/>
              </w:rPr>
              <w:t>, Government Departments, Charities and Foundations</w:t>
            </w:r>
          </w:p>
          <w:p w14:paraId="02039BAA" w14:textId="11AB978E" w:rsidR="00DD1CE9" w:rsidRPr="00E93B21" w:rsidRDefault="00DD1CE9" w:rsidP="00E93B21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E93B21">
              <w:rPr>
                <w:szCs w:val="18"/>
              </w:rPr>
              <w:t xml:space="preserve">Academics to advise and support </w:t>
            </w:r>
            <w:r w:rsidR="003C3E53">
              <w:rPr>
                <w:szCs w:val="18"/>
              </w:rPr>
              <w:t xml:space="preserve"> research grant applications </w:t>
            </w:r>
          </w:p>
          <w:p w14:paraId="5F7782FA" w14:textId="7EE1D143" w:rsidR="00E93B21" w:rsidRDefault="00DD1CE9" w:rsidP="00E93B21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E93B21">
              <w:rPr>
                <w:szCs w:val="18"/>
              </w:rPr>
              <w:t>Staff in Professional Services involved in Research and Enterprise activities</w:t>
            </w:r>
            <w:r w:rsidR="00D34C6B">
              <w:rPr>
                <w:szCs w:val="18"/>
              </w:rPr>
              <w:t>, particularly  Finance and Faculty Operating Service staff</w:t>
            </w:r>
          </w:p>
          <w:p w14:paraId="06E88FD6" w14:textId="77777777" w:rsidR="00C31B06" w:rsidRPr="00E93B21" w:rsidRDefault="00DD1CE9" w:rsidP="00E93B21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E93B21">
              <w:rPr>
                <w:szCs w:val="18"/>
              </w:rPr>
              <w:t>Director and RIS staff, to ensure cohesive and quality service delivery to customers</w:t>
            </w:r>
          </w:p>
        </w:tc>
      </w:tr>
    </w:tbl>
    <w:p w14:paraId="6E4C3351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375BC62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C599352" w14:textId="77777777" w:rsidR="00343D93" w:rsidRDefault="00343D93" w:rsidP="00856C27">
            <w:r>
              <w:t>Special Requirements</w:t>
            </w:r>
          </w:p>
        </w:tc>
      </w:tr>
      <w:tr w:rsidR="00343D93" w14:paraId="7E3BC98D" w14:textId="77777777" w:rsidTr="00856C27">
        <w:trPr>
          <w:trHeight w:val="1134"/>
        </w:trPr>
        <w:tc>
          <w:tcPr>
            <w:tcW w:w="10137" w:type="dxa"/>
          </w:tcPr>
          <w:p w14:paraId="26C8BE5D" w14:textId="77777777" w:rsidR="00343D93" w:rsidRDefault="00343D93" w:rsidP="00E93B21">
            <w:pPr>
              <w:overflowPunct/>
              <w:autoSpaceDE/>
              <w:autoSpaceDN/>
              <w:adjustRightInd/>
              <w:spacing w:before="0" w:after="0"/>
              <w:textAlignment w:val="auto"/>
            </w:pPr>
          </w:p>
        </w:tc>
      </w:tr>
    </w:tbl>
    <w:p w14:paraId="56B02945" w14:textId="5F70534E" w:rsidR="00013C10" w:rsidRDefault="00013C10" w:rsidP="0012209D"/>
    <w:p w14:paraId="7338B1EC" w14:textId="610EB2BA" w:rsidR="00A31D95" w:rsidRDefault="00A31D95" w:rsidP="0012209D"/>
    <w:p w14:paraId="0BEB7D7D" w14:textId="6439D7CF" w:rsidR="00A31D95" w:rsidRDefault="00A31D95" w:rsidP="0012209D"/>
    <w:p w14:paraId="1A191145" w14:textId="4EB83B37" w:rsidR="00A31D95" w:rsidRDefault="00A31D95" w:rsidP="0012209D"/>
    <w:p w14:paraId="0CC47AD6" w14:textId="68A90CA7" w:rsidR="00A31D95" w:rsidRDefault="00A31D95" w:rsidP="0012209D"/>
    <w:p w14:paraId="38574340" w14:textId="06BBCD43" w:rsidR="00A31D95" w:rsidRDefault="00A31D95" w:rsidP="0012209D"/>
    <w:p w14:paraId="6DBE431A" w14:textId="37212C64" w:rsidR="00A31D95" w:rsidRDefault="00A31D95" w:rsidP="0012209D"/>
    <w:p w14:paraId="0EB0BA32" w14:textId="2CE3B6AE" w:rsidR="00A31D95" w:rsidRDefault="00A31D95" w:rsidP="0012209D"/>
    <w:p w14:paraId="36E3F2A0" w14:textId="61DFAD8E" w:rsidR="00A31D95" w:rsidRDefault="00A31D95" w:rsidP="0012209D"/>
    <w:p w14:paraId="5D11FAB9" w14:textId="15CC78C1" w:rsidR="00A31D95" w:rsidRDefault="00A31D95" w:rsidP="0012209D"/>
    <w:p w14:paraId="60414D04" w14:textId="4434888A" w:rsidR="00A31D95" w:rsidRDefault="00A31D95" w:rsidP="0012209D"/>
    <w:p w14:paraId="2E66FA2A" w14:textId="3F97E38A" w:rsidR="00A31D95" w:rsidRDefault="00A31D95" w:rsidP="0012209D"/>
    <w:p w14:paraId="41010D82" w14:textId="60700F0A" w:rsidR="00A31D95" w:rsidRDefault="00A31D95" w:rsidP="0012209D"/>
    <w:p w14:paraId="45FDD22B" w14:textId="357485CD" w:rsidR="00A31D95" w:rsidRDefault="00A31D95" w:rsidP="0012209D"/>
    <w:p w14:paraId="523DDC91" w14:textId="2A439160" w:rsidR="00A31D95" w:rsidRDefault="00A31D95" w:rsidP="0012209D"/>
    <w:p w14:paraId="7D2CDC86" w14:textId="3D14F9EA" w:rsidR="00A31D95" w:rsidRDefault="00A31D95" w:rsidP="0012209D"/>
    <w:p w14:paraId="68C45BF3" w14:textId="5008603A" w:rsidR="00A31D95" w:rsidRDefault="00A31D95" w:rsidP="0012209D"/>
    <w:p w14:paraId="6C6080F0" w14:textId="4D3F584B" w:rsidR="00A31D95" w:rsidRDefault="00A31D95" w:rsidP="0012209D"/>
    <w:p w14:paraId="122B1EAC" w14:textId="1B4475C4" w:rsidR="00A31D95" w:rsidRDefault="00A31D95" w:rsidP="0012209D"/>
    <w:p w14:paraId="2C66AC68" w14:textId="79F0E134" w:rsidR="00A31D95" w:rsidRDefault="00A31D95" w:rsidP="0012209D"/>
    <w:p w14:paraId="28FC7669" w14:textId="785770FC" w:rsidR="00A31D95" w:rsidRDefault="00A31D95" w:rsidP="0012209D"/>
    <w:p w14:paraId="4D966164" w14:textId="77777777" w:rsidR="00A31D95" w:rsidRDefault="00A31D95" w:rsidP="0012209D"/>
    <w:p w14:paraId="3F2C306E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D4AC92D" w14:textId="77777777" w:rsidR="00013C10" w:rsidRDefault="00013C10" w:rsidP="0012209D"/>
    <w:tbl>
      <w:tblPr>
        <w:tblStyle w:val="SUTable"/>
        <w:tblW w:w="9627" w:type="dxa"/>
        <w:tblLook w:val="04A0" w:firstRow="1" w:lastRow="0" w:firstColumn="1" w:lastColumn="0" w:noHBand="0" w:noVBand="1"/>
      </w:tblPr>
      <w:tblGrid>
        <w:gridCol w:w="1616"/>
        <w:gridCol w:w="3338"/>
        <w:gridCol w:w="3356"/>
        <w:gridCol w:w="1317"/>
      </w:tblGrid>
      <w:tr w:rsidR="00013C10" w14:paraId="1D276E15" w14:textId="77777777" w:rsidTr="001A4DC8"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59147553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38" w:type="dxa"/>
            <w:shd w:val="clear" w:color="auto" w:fill="D9D9D9" w:themeFill="background1" w:themeFillShade="D9"/>
            <w:vAlign w:val="center"/>
          </w:tcPr>
          <w:p w14:paraId="00E5D0EA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56" w:type="dxa"/>
            <w:shd w:val="clear" w:color="auto" w:fill="D9D9D9" w:themeFill="background1" w:themeFillShade="D9"/>
            <w:vAlign w:val="center"/>
          </w:tcPr>
          <w:p w14:paraId="0B8C59BB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225B21AB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ADA5DC1" w14:textId="77777777" w:rsidTr="001A4DC8">
        <w:tc>
          <w:tcPr>
            <w:tcW w:w="1616" w:type="dxa"/>
          </w:tcPr>
          <w:p w14:paraId="0CB6EC5E" w14:textId="77777777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38" w:type="dxa"/>
          </w:tcPr>
          <w:p w14:paraId="755CD545" w14:textId="0224F8FA" w:rsidR="00A31D95" w:rsidRDefault="00A31D95" w:rsidP="004755B3">
            <w:r w:rsidRPr="00A31D95">
              <w:t>Skill level equivalent to achievement of HND, Degree, NVQ4 or basic professional qualification</w:t>
            </w:r>
          </w:p>
          <w:p w14:paraId="26B5B646" w14:textId="0F02B169" w:rsidR="004755B3" w:rsidRDefault="004755B3" w:rsidP="004755B3">
            <w:pPr>
              <w:rPr>
                <w:szCs w:val="18"/>
              </w:rPr>
            </w:pPr>
            <w:r>
              <w:rPr>
                <w:szCs w:val="18"/>
              </w:rPr>
              <w:t>Significant r</w:t>
            </w:r>
            <w:r w:rsidRPr="00BE006F">
              <w:rPr>
                <w:szCs w:val="18"/>
              </w:rPr>
              <w:t>elevant</w:t>
            </w:r>
            <w:r>
              <w:rPr>
                <w:szCs w:val="18"/>
              </w:rPr>
              <w:t xml:space="preserve"> and recent</w:t>
            </w:r>
            <w:r w:rsidRPr="00BE006F">
              <w:rPr>
                <w:szCs w:val="18"/>
              </w:rPr>
              <w:t xml:space="preserve"> work experience in a</w:t>
            </w:r>
            <w:r>
              <w:rPr>
                <w:szCs w:val="18"/>
              </w:rPr>
              <w:t xml:space="preserve"> </w:t>
            </w:r>
            <w:r w:rsidRPr="00BE006F">
              <w:rPr>
                <w:szCs w:val="18"/>
              </w:rPr>
              <w:t>customer-focused role</w:t>
            </w:r>
          </w:p>
          <w:p w14:paraId="3AE55F05" w14:textId="1F75ACBE" w:rsidR="004755B3" w:rsidRDefault="004755B3" w:rsidP="004755B3">
            <w:pPr>
              <w:rPr>
                <w:szCs w:val="18"/>
              </w:rPr>
            </w:pPr>
            <w:r>
              <w:rPr>
                <w:szCs w:val="18"/>
              </w:rPr>
              <w:t xml:space="preserve">Experience </w:t>
            </w:r>
            <w:r w:rsidR="001305FB">
              <w:rPr>
                <w:szCs w:val="18"/>
              </w:rPr>
              <w:t xml:space="preserve">of </w:t>
            </w:r>
            <w:r>
              <w:rPr>
                <w:szCs w:val="18"/>
              </w:rPr>
              <w:t xml:space="preserve">supporting </w:t>
            </w:r>
            <w:r w:rsidR="001A4DC8">
              <w:rPr>
                <w:szCs w:val="18"/>
              </w:rPr>
              <w:t xml:space="preserve">colleagues in successfully applying for funding (ideally </w:t>
            </w:r>
            <w:r>
              <w:rPr>
                <w:szCs w:val="18"/>
              </w:rPr>
              <w:t>academics and researchers</w:t>
            </w:r>
            <w:r w:rsidR="001A4DC8">
              <w:rPr>
                <w:szCs w:val="18"/>
              </w:rPr>
              <w:t>)</w:t>
            </w:r>
          </w:p>
          <w:p w14:paraId="458B2C4B" w14:textId="079F325F" w:rsidR="00057DE4" w:rsidRPr="00462A1B" w:rsidRDefault="00057DE4" w:rsidP="00462A1B">
            <w:pPr>
              <w:rPr>
                <w:szCs w:val="18"/>
              </w:rPr>
            </w:pPr>
          </w:p>
        </w:tc>
        <w:tc>
          <w:tcPr>
            <w:tcW w:w="3356" w:type="dxa"/>
          </w:tcPr>
          <w:p w14:paraId="072F1483" w14:textId="77777777" w:rsidR="004755B3" w:rsidRDefault="004755B3" w:rsidP="004755B3">
            <w:pPr>
              <w:rPr>
                <w:szCs w:val="18"/>
              </w:rPr>
            </w:pPr>
            <w:r>
              <w:rPr>
                <w:szCs w:val="18"/>
              </w:rPr>
              <w:t>Knowledge and thorough understanding of:</w:t>
            </w:r>
          </w:p>
          <w:p w14:paraId="3432A235" w14:textId="77777777" w:rsidR="004755B3" w:rsidRDefault="004755B3" w:rsidP="004755B3">
            <w:pPr>
              <w:numPr>
                <w:ilvl w:val="0"/>
                <w:numId w:val="19"/>
              </w:numPr>
              <w:spacing w:before="0" w:after="0"/>
              <w:rPr>
                <w:szCs w:val="18"/>
              </w:rPr>
            </w:pPr>
            <w:r>
              <w:rPr>
                <w:szCs w:val="18"/>
              </w:rPr>
              <w:t>national and international funding landscape</w:t>
            </w:r>
          </w:p>
          <w:p w14:paraId="6A20B9AB" w14:textId="298AC836" w:rsidR="004755B3" w:rsidRDefault="004755B3" w:rsidP="004755B3">
            <w:pPr>
              <w:numPr>
                <w:ilvl w:val="0"/>
                <w:numId w:val="19"/>
              </w:numPr>
              <w:spacing w:before="0" w:after="0"/>
              <w:rPr>
                <w:szCs w:val="18"/>
              </w:rPr>
            </w:pPr>
            <w:r>
              <w:rPr>
                <w:szCs w:val="18"/>
              </w:rPr>
              <w:t>research lifecycle</w:t>
            </w:r>
          </w:p>
          <w:p w14:paraId="047FBF99" w14:textId="015C0E01" w:rsidR="004755B3" w:rsidRDefault="001A4DC8" w:rsidP="00617FAD">
            <w:pPr>
              <w:spacing w:after="90"/>
            </w:pPr>
            <w:r w:rsidRPr="002E315E">
              <w:rPr>
                <w:rFonts w:eastAsia="SimSun" w:cs="Arial"/>
                <w:szCs w:val="18"/>
                <w:lang w:eastAsia="zh-CN"/>
              </w:rPr>
              <w:t>Proficiency</w:t>
            </w:r>
            <w:r>
              <w:rPr>
                <w:rFonts w:eastAsia="SimSun" w:cs="Arial"/>
                <w:szCs w:val="18"/>
                <w:lang w:eastAsia="zh-CN"/>
              </w:rPr>
              <w:t xml:space="preserve"> in</w:t>
            </w:r>
            <w:r w:rsidRPr="002E315E">
              <w:rPr>
                <w:rFonts w:eastAsia="SimSun" w:cs="Arial"/>
                <w:szCs w:val="18"/>
                <w:lang w:eastAsia="zh-CN"/>
              </w:rPr>
              <w:t xml:space="preserve"> using a wide variety of on-line submission and grant management systems</w:t>
            </w:r>
          </w:p>
        </w:tc>
        <w:tc>
          <w:tcPr>
            <w:tcW w:w="1317" w:type="dxa"/>
          </w:tcPr>
          <w:p w14:paraId="33E60854" w14:textId="77777777" w:rsidR="00013C10" w:rsidRDefault="00013C10" w:rsidP="00343D93">
            <w:pPr>
              <w:spacing w:after="90"/>
            </w:pPr>
          </w:p>
        </w:tc>
      </w:tr>
      <w:tr w:rsidR="001A4DC8" w:rsidRPr="00126696" w14:paraId="5CB47AD7" w14:textId="77777777" w:rsidTr="001A4DC8">
        <w:tc>
          <w:tcPr>
            <w:tcW w:w="1616" w:type="dxa"/>
          </w:tcPr>
          <w:p w14:paraId="4E8645C9" w14:textId="77777777" w:rsidR="001A4DC8" w:rsidRPr="00126696" w:rsidRDefault="001A4DC8" w:rsidP="00DD246E">
            <w:pPr>
              <w:spacing w:before="0" w:after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Expected behaviours</w:t>
            </w:r>
          </w:p>
        </w:tc>
        <w:tc>
          <w:tcPr>
            <w:tcW w:w="3338" w:type="dxa"/>
          </w:tcPr>
          <w:p w14:paraId="10301F4B" w14:textId="77777777" w:rsidR="001A4DC8" w:rsidRPr="001A4DC8" w:rsidRDefault="001A4DC8" w:rsidP="001A4DC8">
            <w:pPr>
              <w:spacing w:before="0" w:after="0"/>
              <w:rPr>
                <w:rFonts w:cstheme="minorHAnsi"/>
                <w:szCs w:val="18"/>
              </w:rPr>
            </w:pPr>
            <w:r w:rsidRPr="001A4DC8">
              <w:rPr>
                <w:color w:val="000000"/>
                <w:szCs w:val="18"/>
              </w:rPr>
              <w:t xml:space="preserve">Able to apply and actively promote equality, </w:t>
            </w:r>
            <w:proofErr w:type="gramStart"/>
            <w:r w:rsidRPr="001A4DC8">
              <w:rPr>
                <w:color w:val="000000"/>
                <w:szCs w:val="18"/>
              </w:rPr>
              <w:t>diversity</w:t>
            </w:r>
            <w:proofErr w:type="gramEnd"/>
            <w:r w:rsidRPr="001A4DC8">
              <w:rPr>
                <w:color w:val="000000"/>
                <w:szCs w:val="18"/>
              </w:rPr>
              <w:t xml:space="preserve"> and inclusion principles to the responsibilities of the role</w:t>
            </w:r>
          </w:p>
          <w:p w14:paraId="212D299C" w14:textId="77777777" w:rsidR="001A4DC8" w:rsidRPr="001A4DC8" w:rsidRDefault="001A4DC8" w:rsidP="001A4DC8">
            <w:pPr>
              <w:spacing w:before="0" w:after="0"/>
              <w:rPr>
                <w:rFonts w:cstheme="minorHAnsi"/>
                <w:szCs w:val="18"/>
              </w:rPr>
            </w:pPr>
            <w:r w:rsidRPr="001A4DC8">
              <w:rPr>
                <w:color w:val="000000"/>
                <w:szCs w:val="18"/>
              </w:rPr>
              <w:t>Demonstrate the Southampton Behaviours and work with colleagues to embed them as a way of working within the team.</w:t>
            </w:r>
          </w:p>
        </w:tc>
        <w:tc>
          <w:tcPr>
            <w:tcW w:w="3356" w:type="dxa"/>
          </w:tcPr>
          <w:p w14:paraId="5CA20356" w14:textId="77777777" w:rsidR="001A4DC8" w:rsidRPr="00126696" w:rsidRDefault="001A4DC8" w:rsidP="00DD246E">
            <w:pPr>
              <w:spacing w:before="0" w:after="0"/>
              <w:rPr>
                <w:rFonts w:cstheme="minorHAnsi"/>
                <w:szCs w:val="18"/>
              </w:rPr>
            </w:pPr>
          </w:p>
        </w:tc>
        <w:tc>
          <w:tcPr>
            <w:tcW w:w="1317" w:type="dxa"/>
          </w:tcPr>
          <w:p w14:paraId="4E66E6E3" w14:textId="77777777" w:rsidR="001A4DC8" w:rsidRPr="00126696" w:rsidRDefault="001A4DC8" w:rsidP="00DD246E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  <w:tr w:rsidR="00013C10" w14:paraId="73EF3482" w14:textId="77777777" w:rsidTr="001A4DC8">
        <w:tc>
          <w:tcPr>
            <w:tcW w:w="1616" w:type="dxa"/>
          </w:tcPr>
          <w:p w14:paraId="464B636B" w14:textId="77777777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338" w:type="dxa"/>
          </w:tcPr>
          <w:p w14:paraId="7ED19E97" w14:textId="2D6C7518" w:rsidR="001A4DC8" w:rsidRPr="001A4DC8" w:rsidRDefault="001A4DC8" w:rsidP="001A4DC8">
            <w:pPr>
              <w:spacing w:before="0" w:after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Ability to </w:t>
            </w:r>
            <w:r w:rsidRPr="001A4DC8">
              <w:rPr>
                <w:rFonts w:cstheme="minorHAnsi"/>
                <w:szCs w:val="18"/>
              </w:rPr>
              <w:t>manag</w:t>
            </w:r>
            <w:r>
              <w:rPr>
                <w:rFonts w:cstheme="minorHAnsi"/>
                <w:szCs w:val="18"/>
              </w:rPr>
              <w:t>e</w:t>
            </w:r>
            <w:r w:rsidRPr="001A4DC8">
              <w:rPr>
                <w:rFonts w:cstheme="minorHAnsi"/>
                <w:szCs w:val="18"/>
              </w:rPr>
              <w:t xml:space="preserve"> multiple </w:t>
            </w:r>
            <w:r>
              <w:rPr>
                <w:rFonts w:cstheme="minorHAnsi"/>
                <w:szCs w:val="18"/>
              </w:rPr>
              <w:t xml:space="preserve">activities and </w:t>
            </w:r>
            <w:r w:rsidRPr="001A4DC8">
              <w:rPr>
                <w:rFonts w:cstheme="minorHAnsi"/>
                <w:szCs w:val="18"/>
              </w:rPr>
              <w:t>projects with minimal supervision</w:t>
            </w:r>
            <w:r>
              <w:rPr>
                <w:rFonts w:cstheme="minorHAnsi"/>
                <w:szCs w:val="18"/>
              </w:rPr>
              <w:t xml:space="preserve"> </w:t>
            </w:r>
            <w:r w:rsidRPr="001A4DC8">
              <w:rPr>
                <w:rFonts w:cstheme="minorHAnsi"/>
                <w:szCs w:val="18"/>
              </w:rPr>
              <w:t xml:space="preserve">which will be underpinned by the use of effective systems, attention to detail, and prioritising work to meet </w:t>
            </w:r>
            <w:proofErr w:type="gramStart"/>
            <w:r w:rsidRPr="001A4DC8">
              <w:rPr>
                <w:rFonts w:cstheme="minorHAnsi"/>
                <w:szCs w:val="18"/>
              </w:rPr>
              <w:t>deadlines;</w:t>
            </w:r>
            <w:proofErr w:type="gramEnd"/>
          </w:p>
          <w:p w14:paraId="75EF9BF9" w14:textId="07A8A4B1" w:rsidR="00956C75" w:rsidRDefault="00956C75" w:rsidP="00956C75">
            <w:pPr>
              <w:overflowPunct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Ability to initiate, plan and manage new projects and activities, ensuring plans complement broader operational strategy</w:t>
            </w:r>
          </w:p>
          <w:p w14:paraId="043FA090" w14:textId="77777777" w:rsidR="00956C75" w:rsidRPr="00BE006F" w:rsidRDefault="00956C75" w:rsidP="00956C75">
            <w:pPr>
              <w:overflowPunct/>
              <w:textAlignment w:val="auto"/>
              <w:rPr>
                <w:rFonts w:cs="Arial"/>
                <w:szCs w:val="18"/>
              </w:rPr>
            </w:pPr>
            <w:r w:rsidRPr="00BE006F">
              <w:rPr>
                <w:rFonts w:cs="Arial"/>
                <w:szCs w:val="18"/>
              </w:rPr>
              <w:t>Ability to and experience in planning ahead, coordinating and organising several activities at the same time</w:t>
            </w:r>
          </w:p>
          <w:p w14:paraId="3A4C8E3A" w14:textId="648FA815" w:rsidR="00956C75" w:rsidRPr="00462A1B" w:rsidRDefault="00956C75" w:rsidP="00462A1B">
            <w:pPr>
              <w:overflowPunct/>
              <w:textAlignment w:val="auto"/>
              <w:rPr>
                <w:rFonts w:cs="Arial"/>
                <w:szCs w:val="18"/>
              </w:rPr>
            </w:pPr>
            <w:r w:rsidRPr="00BE006F">
              <w:rPr>
                <w:rFonts w:cs="Arial"/>
                <w:szCs w:val="18"/>
              </w:rPr>
              <w:t xml:space="preserve">Ability to work under pressure and to prioritise workload to ensure </w:t>
            </w:r>
            <w:r>
              <w:rPr>
                <w:rFonts w:cs="Arial"/>
                <w:szCs w:val="18"/>
              </w:rPr>
              <w:t xml:space="preserve">multiple </w:t>
            </w:r>
            <w:r w:rsidRPr="00BE006F">
              <w:rPr>
                <w:rFonts w:cs="Arial"/>
                <w:szCs w:val="18"/>
              </w:rPr>
              <w:t>deadlines are met</w:t>
            </w:r>
          </w:p>
        </w:tc>
        <w:tc>
          <w:tcPr>
            <w:tcW w:w="3356" w:type="dxa"/>
          </w:tcPr>
          <w:p w14:paraId="25F90F4E" w14:textId="77777777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5ECCDAB5" w14:textId="77777777" w:rsidR="00013C10" w:rsidRDefault="00013C10" w:rsidP="00343D93">
            <w:pPr>
              <w:spacing w:after="90"/>
            </w:pPr>
          </w:p>
        </w:tc>
      </w:tr>
      <w:tr w:rsidR="00013C10" w14:paraId="05CB796A" w14:textId="77777777" w:rsidTr="001A4DC8">
        <w:tc>
          <w:tcPr>
            <w:tcW w:w="1616" w:type="dxa"/>
          </w:tcPr>
          <w:p w14:paraId="3ABE4880" w14:textId="77777777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338" w:type="dxa"/>
          </w:tcPr>
          <w:p w14:paraId="30F03848" w14:textId="77777777" w:rsidR="00956C75" w:rsidRDefault="00956C75" w:rsidP="00956C75">
            <w:pPr>
              <w:rPr>
                <w:szCs w:val="18"/>
              </w:rPr>
            </w:pPr>
            <w:r>
              <w:rPr>
                <w:szCs w:val="18"/>
              </w:rPr>
              <w:t>Ability to rapidly identify and analyse issues to bring about pragmatic and swift resolution</w:t>
            </w:r>
          </w:p>
          <w:p w14:paraId="39F05ACB" w14:textId="7CFC77EB" w:rsidR="00D73BB9" w:rsidRPr="00462A1B" w:rsidRDefault="00956C75" w:rsidP="00462A1B">
            <w:pPr>
              <w:rPr>
                <w:szCs w:val="18"/>
              </w:rPr>
            </w:pPr>
            <w:r>
              <w:rPr>
                <w:szCs w:val="18"/>
              </w:rPr>
              <w:t>Ability to apply creativity in proposing solutions to complex problems ensuring that risks have been fully assessed</w:t>
            </w:r>
          </w:p>
        </w:tc>
        <w:tc>
          <w:tcPr>
            <w:tcW w:w="3356" w:type="dxa"/>
          </w:tcPr>
          <w:p w14:paraId="54D7F3D7" w14:textId="77777777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7BB264A1" w14:textId="77777777" w:rsidR="00013C10" w:rsidRDefault="00013C10" w:rsidP="00343D93">
            <w:pPr>
              <w:spacing w:after="90"/>
            </w:pPr>
          </w:p>
        </w:tc>
      </w:tr>
      <w:tr w:rsidR="00013C10" w14:paraId="0A4038F0" w14:textId="77777777" w:rsidTr="001A4DC8">
        <w:tc>
          <w:tcPr>
            <w:tcW w:w="1616" w:type="dxa"/>
          </w:tcPr>
          <w:p w14:paraId="69FD93F9" w14:textId="77777777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338" w:type="dxa"/>
          </w:tcPr>
          <w:p w14:paraId="4022A7B3" w14:textId="012FF1BD" w:rsidR="00956C75" w:rsidRDefault="00956C75" w:rsidP="00956C75">
            <w:pPr>
              <w:rPr>
                <w:szCs w:val="18"/>
              </w:rPr>
            </w:pPr>
            <w:r>
              <w:rPr>
                <w:szCs w:val="18"/>
              </w:rPr>
              <w:t>Ability to</w:t>
            </w:r>
            <w:r w:rsidR="00A81538">
              <w:rPr>
                <w:szCs w:val="18"/>
              </w:rPr>
              <w:t xml:space="preserve"> work within a </w:t>
            </w:r>
            <w:r>
              <w:rPr>
                <w:szCs w:val="18"/>
              </w:rPr>
              <w:t>dynamic</w:t>
            </w:r>
            <w:r w:rsidR="00A81538">
              <w:rPr>
                <w:szCs w:val="18"/>
              </w:rPr>
              <w:t xml:space="preserve"> team setting</w:t>
            </w:r>
            <w:r>
              <w:rPr>
                <w:szCs w:val="18"/>
              </w:rPr>
              <w:t>, ensuring</w:t>
            </w:r>
            <w:r w:rsidR="001305FB">
              <w:rPr>
                <w:szCs w:val="18"/>
              </w:rPr>
              <w:t xml:space="preserve"> delivery of a</w:t>
            </w:r>
            <w:r>
              <w:rPr>
                <w:szCs w:val="18"/>
              </w:rPr>
              <w:t xml:space="preserve"> </w:t>
            </w:r>
            <w:r w:rsidR="00A81538">
              <w:rPr>
                <w:szCs w:val="18"/>
              </w:rPr>
              <w:t xml:space="preserve">smooth professional service </w:t>
            </w:r>
            <w:r w:rsidR="001305FB">
              <w:rPr>
                <w:szCs w:val="18"/>
              </w:rPr>
              <w:t>across a specialist team</w:t>
            </w:r>
          </w:p>
          <w:p w14:paraId="662F6ADA" w14:textId="77777777" w:rsidR="00956C75" w:rsidRDefault="00956C75" w:rsidP="00956C75">
            <w:pPr>
              <w:rPr>
                <w:szCs w:val="18"/>
              </w:rPr>
            </w:pPr>
            <w:r>
              <w:rPr>
                <w:szCs w:val="18"/>
              </w:rPr>
              <w:t>Ability to provide expert guidance and advice to colleagues to resolve complex problems</w:t>
            </w:r>
          </w:p>
          <w:p w14:paraId="3D286D64" w14:textId="06FC715F" w:rsidR="00057DE4" w:rsidRPr="00462A1B" w:rsidRDefault="00956C75" w:rsidP="00462A1B">
            <w:pPr>
              <w:rPr>
                <w:szCs w:val="18"/>
              </w:rPr>
            </w:pPr>
            <w:r>
              <w:rPr>
                <w:szCs w:val="18"/>
              </w:rPr>
              <w:t>Ability to work effectively with teams not under direct management to ensure harmonized approaches are developed</w:t>
            </w:r>
          </w:p>
        </w:tc>
        <w:tc>
          <w:tcPr>
            <w:tcW w:w="3356" w:type="dxa"/>
          </w:tcPr>
          <w:p w14:paraId="52F966D9" w14:textId="275995E9" w:rsidR="00A81538" w:rsidRDefault="00A81538" w:rsidP="00D41F25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Ability to manage team dynamics, ensuring any potential for conflict is managed effectively</w:t>
            </w:r>
          </w:p>
          <w:p w14:paraId="44EB84A6" w14:textId="77777777" w:rsidR="00A81538" w:rsidRDefault="00A81538" w:rsidP="00057DE4">
            <w:pPr>
              <w:spacing w:after="90"/>
            </w:pPr>
          </w:p>
        </w:tc>
        <w:tc>
          <w:tcPr>
            <w:tcW w:w="1317" w:type="dxa"/>
          </w:tcPr>
          <w:p w14:paraId="1A4CAAC6" w14:textId="77777777" w:rsidR="00013C10" w:rsidRDefault="00013C10" w:rsidP="00343D93">
            <w:pPr>
              <w:spacing w:after="90"/>
            </w:pPr>
          </w:p>
        </w:tc>
      </w:tr>
      <w:tr w:rsidR="00013C10" w14:paraId="6249130B" w14:textId="77777777" w:rsidTr="001A4DC8">
        <w:tc>
          <w:tcPr>
            <w:tcW w:w="1616" w:type="dxa"/>
          </w:tcPr>
          <w:p w14:paraId="5CD4FBD8" w14:textId="77777777" w:rsidR="00013C10" w:rsidRPr="00FD5B0E" w:rsidRDefault="00013C10" w:rsidP="00321CAA">
            <w:r w:rsidRPr="00FD5B0E">
              <w:lastRenderedPageBreak/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38" w:type="dxa"/>
          </w:tcPr>
          <w:p w14:paraId="71CE7132" w14:textId="77777777" w:rsidR="00956C75" w:rsidRDefault="00956C75" w:rsidP="00956C75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Excellent interpersonal skills</w:t>
            </w:r>
          </w:p>
          <w:p w14:paraId="0E68969F" w14:textId="77777777" w:rsidR="00956C75" w:rsidRDefault="00956C75" w:rsidP="00956C75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Excellent writing, </w:t>
            </w:r>
            <w:proofErr w:type="gramStart"/>
            <w:r>
              <w:rPr>
                <w:rFonts w:cs="Arial"/>
                <w:szCs w:val="18"/>
              </w:rPr>
              <w:t>grammar</w:t>
            </w:r>
            <w:proofErr w:type="gramEnd"/>
            <w:r>
              <w:rPr>
                <w:rFonts w:cs="Arial"/>
                <w:szCs w:val="18"/>
              </w:rPr>
              <w:t xml:space="preserve"> and proof-reading skills </w:t>
            </w:r>
          </w:p>
          <w:p w14:paraId="56434FAE" w14:textId="77777777" w:rsidR="00956C75" w:rsidRDefault="00956C75" w:rsidP="00956C75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Ability to persuade and influence </w:t>
            </w:r>
            <w:proofErr w:type="gramStart"/>
            <w:r>
              <w:rPr>
                <w:rFonts w:cs="Arial"/>
                <w:szCs w:val="18"/>
              </w:rPr>
              <w:t>in order to</w:t>
            </w:r>
            <w:proofErr w:type="gramEnd"/>
            <w:r>
              <w:rPr>
                <w:rFonts w:cs="Arial"/>
                <w:szCs w:val="18"/>
              </w:rPr>
              <w:t xml:space="preserve"> foster and maintain relationships</w:t>
            </w:r>
          </w:p>
          <w:p w14:paraId="20EB1217" w14:textId="77777777" w:rsidR="001305FB" w:rsidRDefault="001305FB" w:rsidP="00956C75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Ability to present complex information to varied audiences, including senior academics or similar</w:t>
            </w:r>
          </w:p>
          <w:p w14:paraId="298E429A" w14:textId="77777777" w:rsidR="00956C75" w:rsidRDefault="00956C75" w:rsidP="00956C75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Ability to write and present reports and management information</w:t>
            </w:r>
          </w:p>
          <w:p w14:paraId="30C96797" w14:textId="77777777" w:rsidR="00956C75" w:rsidRDefault="00956C75" w:rsidP="00956C75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Ability to offer proactive advice and guidance</w:t>
            </w:r>
          </w:p>
          <w:p w14:paraId="1E5302DA" w14:textId="32D8D29B" w:rsidR="00057DE4" w:rsidRDefault="00956C75" w:rsidP="00D41F25">
            <w:r>
              <w:rPr>
                <w:rFonts w:cs="Arial"/>
                <w:szCs w:val="18"/>
              </w:rPr>
              <w:t>Ability to provide qualitative reviews of bids</w:t>
            </w:r>
          </w:p>
        </w:tc>
        <w:tc>
          <w:tcPr>
            <w:tcW w:w="3356" w:type="dxa"/>
          </w:tcPr>
          <w:p w14:paraId="71A11AB1" w14:textId="77777777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4C89ECAA" w14:textId="77777777" w:rsidR="00013C10" w:rsidRDefault="00013C10" w:rsidP="00343D93">
            <w:pPr>
              <w:spacing w:after="90"/>
            </w:pPr>
          </w:p>
        </w:tc>
      </w:tr>
      <w:tr w:rsidR="00013C10" w14:paraId="2E562850" w14:textId="77777777" w:rsidTr="001A4DC8">
        <w:tc>
          <w:tcPr>
            <w:tcW w:w="1616" w:type="dxa"/>
          </w:tcPr>
          <w:p w14:paraId="286C6C4F" w14:textId="77777777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338" w:type="dxa"/>
          </w:tcPr>
          <w:p w14:paraId="749B7AEA" w14:textId="63A03ED3" w:rsidR="00956C75" w:rsidRDefault="00956C75" w:rsidP="00956C75">
            <w:pPr>
              <w:rPr>
                <w:szCs w:val="18"/>
              </w:rPr>
            </w:pPr>
            <w:r w:rsidRPr="00BE006F">
              <w:rPr>
                <w:szCs w:val="18"/>
              </w:rPr>
              <w:t xml:space="preserve">Ability to adapt and be flexible within working environment due to ever-changing workload </w:t>
            </w:r>
          </w:p>
          <w:p w14:paraId="0BC74C96" w14:textId="790AB97F" w:rsidR="00013C10" w:rsidRDefault="00B52112" w:rsidP="001E30C3">
            <w:r>
              <w:t>Understanding of relevant Health &amp; Safety issues</w:t>
            </w:r>
          </w:p>
        </w:tc>
        <w:tc>
          <w:tcPr>
            <w:tcW w:w="3356" w:type="dxa"/>
          </w:tcPr>
          <w:p w14:paraId="77D1C76B" w14:textId="77777777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45DC452A" w14:textId="77777777" w:rsidR="00013C10" w:rsidRDefault="00013C10" w:rsidP="00343D93">
            <w:pPr>
              <w:spacing w:after="90"/>
            </w:pPr>
          </w:p>
        </w:tc>
      </w:tr>
      <w:tr w:rsidR="00013C10" w14:paraId="4E486423" w14:textId="77777777" w:rsidTr="001A4DC8">
        <w:tc>
          <w:tcPr>
            <w:tcW w:w="1616" w:type="dxa"/>
          </w:tcPr>
          <w:p w14:paraId="3A55468D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338" w:type="dxa"/>
          </w:tcPr>
          <w:p w14:paraId="7BE12CC7" w14:textId="316B333C" w:rsidR="00013C10" w:rsidRPr="00462A1B" w:rsidRDefault="00956C75" w:rsidP="00462A1B">
            <w:pPr>
              <w:tabs>
                <w:tab w:val="left" w:pos="0"/>
              </w:tabs>
              <w:suppressAutoHyphens/>
              <w:rPr>
                <w:szCs w:val="18"/>
              </w:rPr>
            </w:pPr>
            <w:r w:rsidRPr="00626684">
              <w:rPr>
                <w:szCs w:val="18"/>
              </w:rPr>
              <w:t>Willingness to attend meetings off-site and work non-standard hours</w:t>
            </w:r>
          </w:p>
        </w:tc>
        <w:tc>
          <w:tcPr>
            <w:tcW w:w="3356" w:type="dxa"/>
          </w:tcPr>
          <w:p w14:paraId="087FBC37" w14:textId="77777777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27644F71" w14:textId="77777777" w:rsidR="00013C10" w:rsidRDefault="00013C10" w:rsidP="00343D93">
            <w:pPr>
              <w:spacing w:after="90"/>
            </w:pPr>
          </w:p>
        </w:tc>
      </w:tr>
    </w:tbl>
    <w:p w14:paraId="4A36747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2620078D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35CE76C7" w14:textId="77777777" w:rsidR="0012209D" w:rsidRDefault="0012209D" w:rsidP="0012209D">
      <w:pPr>
        <w:rPr>
          <w:b/>
          <w:bCs/>
        </w:rPr>
      </w:pPr>
    </w:p>
    <w:p w14:paraId="4CAF7FDE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27B4927D" w14:textId="77777777" w:rsidTr="00D3349E">
        <w:tc>
          <w:tcPr>
            <w:tcW w:w="908" w:type="dxa"/>
          </w:tcPr>
          <w:p w14:paraId="03C93DBF" w14:textId="70FEC56C" w:rsidR="00D3349E" w:rsidRDefault="00A31D95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11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A52708C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279375BB" w14:textId="77777777" w:rsidTr="00D3349E">
        <w:tc>
          <w:tcPr>
            <w:tcW w:w="908" w:type="dxa"/>
          </w:tcPr>
          <w:p w14:paraId="556480E7" w14:textId="77777777" w:rsidR="00D3349E" w:rsidRDefault="00A31D95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0BB2004D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6C25068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5F185981" w14:textId="77777777" w:rsidR="00D3349E" w:rsidRDefault="00D3349E" w:rsidP="00E264FD"/>
    <w:p w14:paraId="442E8A25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487696F1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269A3474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08896BCD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95F8E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6BD39A62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68C9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54DCB21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99E8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5334AB3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025C9BB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4DB123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355C9A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D25DC1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0784E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F98FF3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5CECD9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9B1FB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040F2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2C5F6C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C45262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B82DEE9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6AE378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49540A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CDE6E9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13A462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3D50F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DE18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0A5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E43C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AF7B16F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43A287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8EC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EBBE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AD2D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F72507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B5EF1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4515D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0716E8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AAB0F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0953F19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6F5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79E9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B3D4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98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903863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68A264D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4505B2B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741AED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DDD88C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6D450B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A297F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DEFAAB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6A61F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E115A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ABAF4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1420CB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37B7DD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E760D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1E041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33CF2B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438009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C8A3DF0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78AE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8AC0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CD99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46D8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7C9D489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6E770A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7D92C3F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4EB8B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B65A1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4E348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E5C7F7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9BE7DD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275668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CEB03B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FA3F9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65CEE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FEE28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BEE24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9E8FD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A55EDB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D8D47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CC5EF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E8A539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BB4F6B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69628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DF5E1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7DEC05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0786F2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74DCDD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EDD94C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5A28BE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376E8E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784A6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6EB331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135ED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A29DFA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2A4E8E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3D2E0A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C02547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06F509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73984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8229A9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B88BAE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77795A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1B4D7D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C971E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1499A2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2920C4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7EE66D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FED59B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98BA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D0BA14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FAABC5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407C2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8B4D68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C964CC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E3A8BB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6920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D1F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D80B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F55C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3239AB8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570E85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2F87C39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7F37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280A3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06EE7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0F705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85F412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66661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0A7EA9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4DFECB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D88E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B4B2E0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9541A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A7E72A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001D6E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19EFC8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E325C21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F28F" w14:textId="77777777" w:rsidR="009F5670" w:rsidRDefault="009F5670">
      <w:r>
        <w:separator/>
      </w:r>
    </w:p>
    <w:p w14:paraId="768E2E0A" w14:textId="77777777" w:rsidR="009F5670" w:rsidRDefault="009F5670"/>
  </w:endnote>
  <w:endnote w:type="continuationSeparator" w:id="0">
    <w:p w14:paraId="743117F0" w14:textId="77777777" w:rsidR="009F5670" w:rsidRDefault="009F5670">
      <w:r>
        <w:continuationSeparator/>
      </w:r>
    </w:p>
    <w:p w14:paraId="1A705A69" w14:textId="77777777" w:rsidR="009F5670" w:rsidRDefault="009F5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136F" w14:textId="6598BB07" w:rsidR="00062768" w:rsidRDefault="00CB1F23" w:rsidP="0008018B">
    <w:pPr>
      <w:pStyle w:val="ContinuationFooter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D825F6"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FE690" w14:textId="77777777" w:rsidR="009F5670" w:rsidRDefault="009F5670">
      <w:r>
        <w:separator/>
      </w:r>
    </w:p>
    <w:p w14:paraId="2D6CE7C6" w14:textId="77777777" w:rsidR="009F5670" w:rsidRDefault="009F5670"/>
  </w:footnote>
  <w:footnote w:type="continuationSeparator" w:id="0">
    <w:p w14:paraId="2FD7D03C" w14:textId="77777777" w:rsidR="009F5670" w:rsidRDefault="009F5670">
      <w:r>
        <w:continuationSeparator/>
      </w:r>
    </w:p>
    <w:p w14:paraId="055C6937" w14:textId="77777777" w:rsidR="009F5670" w:rsidRDefault="009F56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07D15150" w14:textId="77777777" w:rsidTr="00854B1E">
      <w:trPr>
        <w:trHeight w:hRule="exact" w:val="227"/>
      </w:trPr>
      <w:tc>
        <w:tcPr>
          <w:tcW w:w="9639" w:type="dxa"/>
        </w:tcPr>
        <w:p w14:paraId="1180733B" w14:textId="77777777" w:rsidR="00062768" w:rsidRDefault="00062768" w:rsidP="0029789A">
          <w:pPr>
            <w:pStyle w:val="Header"/>
          </w:pPr>
        </w:p>
      </w:tc>
    </w:tr>
    <w:tr w:rsidR="00062768" w14:paraId="3A4A92B1" w14:textId="77777777" w:rsidTr="00013C10">
      <w:trPr>
        <w:trHeight w:val="1183"/>
      </w:trPr>
      <w:tc>
        <w:tcPr>
          <w:tcW w:w="9639" w:type="dxa"/>
        </w:tcPr>
        <w:p w14:paraId="04292A5B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3656523" wp14:editId="63E5B193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EA5B87" w14:textId="72FAD764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0EC631F9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53971"/>
    <w:multiLevelType w:val="hybridMultilevel"/>
    <w:tmpl w:val="C1CC5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931E47"/>
    <w:multiLevelType w:val="multilevel"/>
    <w:tmpl w:val="7F92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D56AC"/>
    <w:multiLevelType w:val="hybridMultilevel"/>
    <w:tmpl w:val="7772EC8A"/>
    <w:lvl w:ilvl="0" w:tplc="16C274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" w:eastAsia="Impact" w:hAnsi="Lucida Sans" w:cs="Impact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E0FDA"/>
    <w:multiLevelType w:val="multilevel"/>
    <w:tmpl w:val="C5FC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9B4F51"/>
    <w:multiLevelType w:val="hybridMultilevel"/>
    <w:tmpl w:val="735298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EAC61ED"/>
    <w:multiLevelType w:val="hybridMultilevel"/>
    <w:tmpl w:val="1C64B1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18"/>
  </w:num>
  <w:num w:numId="4">
    <w:abstractNumId w:val="14"/>
  </w:num>
  <w:num w:numId="5">
    <w:abstractNumId w:val="15"/>
  </w:num>
  <w:num w:numId="6">
    <w:abstractNumId w:val="12"/>
  </w:num>
  <w:num w:numId="7">
    <w:abstractNumId w:val="4"/>
  </w:num>
  <w:num w:numId="8">
    <w:abstractNumId w:val="10"/>
  </w:num>
  <w:num w:numId="9">
    <w:abstractNumId w:val="2"/>
  </w:num>
  <w:num w:numId="10">
    <w:abstractNumId w:val="13"/>
  </w:num>
  <w:num w:numId="11">
    <w:abstractNumId w:val="8"/>
  </w:num>
  <w:num w:numId="12">
    <w:abstractNumId w:val="19"/>
  </w:num>
  <w:num w:numId="13">
    <w:abstractNumId w:val="20"/>
  </w:num>
  <w:num w:numId="14">
    <w:abstractNumId w:val="11"/>
  </w:num>
  <w:num w:numId="15">
    <w:abstractNumId w:val="3"/>
  </w:num>
  <w:num w:numId="16">
    <w:abstractNumId w:val="16"/>
  </w:num>
  <w:num w:numId="17">
    <w:abstractNumId w:val="17"/>
  </w:num>
  <w:num w:numId="18">
    <w:abstractNumId w:val="21"/>
  </w:num>
  <w:num w:numId="19">
    <w:abstractNumId w:val="6"/>
  </w:num>
  <w:num w:numId="20">
    <w:abstractNumId w:val="9"/>
  </w:num>
  <w:num w:numId="21">
    <w:abstractNumId w:val="7"/>
  </w:num>
  <w:num w:numId="22">
    <w:abstractNumId w:val="5"/>
  </w:num>
  <w:num w:numId="23">
    <w:abstractNumId w:val="23"/>
  </w:num>
  <w:num w:numId="2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33C7F"/>
    <w:rsid w:val="0005274A"/>
    <w:rsid w:val="00057DE4"/>
    <w:rsid w:val="00062768"/>
    <w:rsid w:val="00063081"/>
    <w:rsid w:val="00071653"/>
    <w:rsid w:val="0008018B"/>
    <w:rsid w:val="000824F4"/>
    <w:rsid w:val="00085A12"/>
    <w:rsid w:val="0008673E"/>
    <w:rsid w:val="000978E8"/>
    <w:rsid w:val="000B1DED"/>
    <w:rsid w:val="000B4E5A"/>
    <w:rsid w:val="000F4622"/>
    <w:rsid w:val="00102BCB"/>
    <w:rsid w:val="0012209D"/>
    <w:rsid w:val="001305FB"/>
    <w:rsid w:val="001532E2"/>
    <w:rsid w:val="00156F2F"/>
    <w:rsid w:val="00157CA1"/>
    <w:rsid w:val="00163641"/>
    <w:rsid w:val="00167CBB"/>
    <w:rsid w:val="0018144C"/>
    <w:rsid w:val="001840EA"/>
    <w:rsid w:val="001A3498"/>
    <w:rsid w:val="001A4DC8"/>
    <w:rsid w:val="001B5EA0"/>
    <w:rsid w:val="001B6986"/>
    <w:rsid w:val="001C5C5C"/>
    <w:rsid w:val="001D0B37"/>
    <w:rsid w:val="001D5201"/>
    <w:rsid w:val="001E24BE"/>
    <w:rsid w:val="001E30C3"/>
    <w:rsid w:val="00203966"/>
    <w:rsid w:val="00205458"/>
    <w:rsid w:val="002252DF"/>
    <w:rsid w:val="00236BFE"/>
    <w:rsid w:val="00237017"/>
    <w:rsid w:val="00241441"/>
    <w:rsid w:val="0024539C"/>
    <w:rsid w:val="00254722"/>
    <w:rsid w:val="002547F5"/>
    <w:rsid w:val="00260333"/>
    <w:rsid w:val="00260B1D"/>
    <w:rsid w:val="00266C6A"/>
    <w:rsid w:val="0028305F"/>
    <w:rsid w:val="0028509A"/>
    <w:rsid w:val="00287575"/>
    <w:rsid w:val="0029789A"/>
    <w:rsid w:val="002A70BE"/>
    <w:rsid w:val="002B7984"/>
    <w:rsid w:val="002C6198"/>
    <w:rsid w:val="002D4DF4"/>
    <w:rsid w:val="002E1501"/>
    <w:rsid w:val="002E1514"/>
    <w:rsid w:val="002E5CBC"/>
    <w:rsid w:val="0030080E"/>
    <w:rsid w:val="00312C9E"/>
    <w:rsid w:val="00313CC8"/>
    <w:rsid w:val="003178D9"/>
    <w:rsid w:val="0034151E"/>
    <w:rsid w:val="00343D93"/>
    <w:rsid w:val="00364B2C"/>
    <w:rsid w:val="003701F7"/>
    <w:rsid w:val="003A2001"/>
    <w:rsid w:val="003A5F1B"/>
    <w:rsid w:val="003A7176"/>
    <w:rsid w:val="003B0262"/>
    <w:rsid w:val="003B7540"/>
    <w:rsid w:val="003C3E53"/>
    <w:rsid w:val="003C706B"/>
    <w:rsid w:val="00413A22"/>
    <w:rsid w:val="004263FE"/>
    <w:rsid w:val="00462A1B"/>
    <w:rsid w:val="00463797"/>
    <w:rsid w:val="00467596"/>
    <w:rsid w:val="00474D00"/>
    <w:rsid w:val="004755B3"/>
    <w:rsid w:val="00485225"/>
    <w:rsid w:val="004B2A50"/>
    <w:rsid w:val="004C0252"/>
    <w:rsid w:val="0051744C"/>
    <w:rsid w:val="00524005"/>
    <w:rsid w:val="005374F7"/>
    <w:rsid w:val="00541CE0"/>
    <w:rsid w:val="005534E1"/>
    <w:rsid w:val="00573487"/>
    <w:rsid w:val="00580CBF"/>
    <w:rsid w:val="005907B3"/>
    <w:rsid w:val="005949FA"/>
    <w:rsid w:val="005D44D1"/>
    <w:rsid w:val="00601F61"/>
    <w:rsid w:val="00617FAD"/>
    <w:rsid w:val="006249FD"/>
    <w:rsid w:val="00651280"/>
    <w:rsid w:val="00671F76"/>
    <w:rsid w:val="00680547"/>
    <w:rsid w:val="00695D76"/>
    <w:rsid w:val="006B1AF6"/>
    <w:rsid w:val="006D53BB"/>
    <w:rsid w:val="006F44EB"/>
    <w:rsid w:val="00702D64"/>
    <w:rsid w:val="0070376B"/>
    <w:rsid w:val="007131DC"/>
    <w:rsid w:val="00746AEB"/>
    <w:rsid w:val="00761108"/>
    <w:rsid w:val="007721BD"/>
    <w:rsid w:val="007745E4"/>
    <w:rsid w:val="00774F01"/>
    <w:rsid w:val="00785962"/>
    <w:rsid w:val="00791076"/>
    <w:rsid w:val="0079197B"/>
    <w:rsid w:val="00791A2A"/>
    <w:rsid w:val="007C22CC"/>
    <w:rsid w:val="007C6FAA"/>
    <w:rsid w:val="007D1DF4"/>
    <w:rsid w:val="007E2D19"/>
    <w:rsid w:val="007F2AEA"/>
    <w:rsid w:val="008111A1"/>
    <w:rsid w:val="00813365"/>
    <w:rsid w:val="00813A2C"/>
    <w:rsid w:val="0082020C"/>
    <w:rsid w:val="0082075E"/>
    <w:rsid w:val="00842C05"/>
    <w:rsid w:val="008443D8"/>
    <w:rsid w:val="00854B1E"/>
    <w:rsid w:val="00856B8A"/>
    <w:rsid w:val="008646A3"/>
    <w:rsid w:val="00873E43"/>
    <w:rsid w:val="00876272"/>
    <w:rsid w:val="00883499"/>
    <w:rsid w:val="00885FD1"/>
    <w:rsid w:val="008961F9"/>
    <w:rsid w:val="008D52C9"/>
    <w:rsid w:val="008E4F7A"/>
    <w:rsid w:val="008F03C7"/>
    <w:rsid w:val="009064A9"/>
    <w:rsid w:val="00933529"/>
    <w:rsid w:val="009419A4"/>
    <w:rsid w:val="00945F4B"/>
    <w:rsid w:val="009464AF"/>
    <w:rsid w:val="00954E47"/>
    <w:rsid w:val="00956C75"/>
    <w:rsid w:val="00965BFB"/>
    <w:rsid w:val="00970E28"/>
    <w:rsid w:val="00977C17"/>
    <w:rsid w:val="0098120F"/>
    <w:rsid w:val="00995C74"/>
    <w:rsid w:val="00996476"/>
    <w:rsid w:val="009D31CE"/>
    <w:rsid w:val="009D51DD"/>
    <w:rsid w:val="009F5670"/>
    <w:rsid w:val="00A021B7"/>
    <w:rsid w:val="00A131D9"/>
    <w:rsid w:val="00A14888"/>
    <w:rsid w:val="00A23226"/>
    <w:rsid w:val="00A31D95"/>
    <w:rsid w:val="00A34296"/>
    <w:rsid w:val="00A40BDB"/>
    <w:rsid w:val="00A43F36"/>
    <w:rsid w:val="00A521A9"/>
    <w:rsid w:val="00A710CC"/>
    <w:rsid w:val="00A7244A"/>
    <w:rsid w:val="00A760DE"/>
    <w:rsid w:val="00A81538"/>
    <w:rsid w:val="00A925C0"/>
    <w:rsid w:val="00AA3CB5"/>
    <w:rsid w:val="00AB1384"/>
    <w:rsid w:val="00AB4D17"/>
    <w:rsid w:val="00AC2B17"/>
    <w:rsid w:val="00AE1CA0"/>
    <w:rsid w:val="00AE39DC"/>
    <w:rsid w:val="00AE4DC4"/>
    <w:rsid w:val="00B02F38"/>
    <w:rsid w:val="00B355B1"/>
    <w:rsid w:val="00B40395"/>
    <w:rsid w:val="00B430BB"/>
    <w:rsid w:val="00B52112"/>
    <w:rsid w:val="00B63A50"/>
    <w:rsid w:val="00B8021F"/>
    <w:rsid w:val="00B839F8"/>
    <w:rsid w:val="00B84C12"/>
    <w:rsid w:val="00BB4A42"/>
    <w:rsid w:val="00BB7845"/>
    <w:rsid w:val="00BC61E0"/>
    <w:rsid w:val="00BF1CC6"/>
    <w:rsid w:val="00C129E6"/>
    <w:rsid w:val="00C21499"/>
    <w:rsid w:val="00C262BD"/>
    <w:rsid w:val="00C31B06"/>
    <w:rsid w:val="00C907D0"/>
    <w:rsid w:val="00C91B17"/>
    <w:rsid w:val="00CB1F23"/>
    <w:rsid w:val="00CC092D"/>
    <w:rsid w:val="00CD04F0"/>
    <w:rsid w:val="00CE0A26"/>
    <w:rsid w:val="00CE3A26"/>
    <w:rsid w:val="00D16D9D"/>
    <w:rsid w:val="00D3349E"/>
    <w:rsid w:val="00D34C6B"/>
    <w:rsid w:val="00D41F25"/>
    <w:rsid w:val="00D50678"/>
    <w:rsid w:val="00D54AA2"/>
    <w:rsid w:val="00D55315"/>
    <w:rsid w:val="00D5587F"/>
    <w:rsid w:val="00D65B56"/>
    <w:rsid w:val="00D67D41"/>
    <w:rsid w:val="00D73BB9"/>
    <w:rsid w:val="00D74486"/>
    <w:rsid w:val="00D825F6"/>
    <w:rsid w:val="00DC1CE3"/>
    <w:rsid w:val="00DD1CE9"/>
    <w:rsid w:val="00DE30EA"/>
    <w:rsid w:val="00DE553C"/>
    <w:rsid w:val="00E01106"/>
    <w:rsid w:val="00E0467F"/>
    <w:rsid w:val="00E0633C"/>
    <w:rsid w:val="00E25775"/>
    <w:rsid w:val="00E264FD"/>
    <w:rsid w:val="00E363B8"/>
    <w:rsid w:val="00E37E1B"/>
    <w:rsid w:val="00E63AC1"/>
    <w:rsid w:val="00E8383C"/>
    <w:rsid w:val="00E870DF"/>
    <w:rsid w:val="00E93B21"/>
    <w:rsid w:val="00E96015"/>
    <w:rsid w:val="00E96BCC"/>
    <w:rsid w:val="00EB32DD"/>
    <w:rsid w:val="00EB589D"/>
    <w:rsid w:val="00ED2E52"/>
    <w:rsid w:val="00EE13FB"/>
    <w:rsid w:val="00EE214F"/>
    <w:rsid w:val="00F01EA0"/>
    <w:rsid w:val="00F135E0"/>
    <w:rsid w:val="00F378D2"/>
    <w:rsid w:val="00F45621"/>
    <w:rsid w:val="00F84583"/>
    <w:rsid w:val="00F85DED"/>
    <w:rsid w:val="00F90F90"/>
    <w:rsid w:val="00FA258D"/>
    <w:rsid w:val="00FB7297"/>
    <w:rsid w:val="00FC2ADA"/>
    <w:rsid w:val="00FF140B"/>
    <w:rsid w:val="00FF246F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9FB465B"/>
  <w15:docId w15:val="{90292C8D-F6EC-4E26-A263-D4D9DB11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Default">
    <w:name w:val="Default"/>
    <w:rsid w:val="002370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B32DD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EB32DD"/>
    <w:rPr>
      <w:rFonts w:ascii="CG Times" w:hAnsi="CG Times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9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009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1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4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1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8DCD3F47D39479B7322E569965845" ma:contentTypeVersion="0" ma:contentTypeDescription="Create a new document." ma:contentTypeScope="" ma:versionID="6488294d314c7c2fb746b94fa7c013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593716-B865-464C-AD7E-D9AC68BD0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E5A7CE-4CCC-46E5-B58A-145E48B83E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1193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Officer</vt:lpstr>
    </vt:vector>
  </TitlesOfParts>
  <Company>Southampton University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Annabelle Trimm</cp:lastModifiedBy>
  <cp:revision>2</cp:revision>
  <cp:lastPrinted>2008-01-14T17:11:00Z</cp:lastPrinted>
  <dcterms:created xsi:type="dcterms:W3CDTF">2022-12-07T20:51:00Z</dcterms:created>
  <dcterms:modified xsi:type="dcterms:W3CDTF">2022-12-07T20:51:00Z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0x0101001E98DCD3F47D39479B7322E569965845</vt:lpwstr>
  </property>
</Properties>
</file>