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044B8C77" w14:textId="77777777" w:rsidTr="00E43297">
        <w:tc>
          <w:tcPr>
            <w:tcW w:w="1617" w:type="dxa"/>
          </w:tcPr>
          <w:p w14:paraId="29980B03" w14:textId="77777777" w:rsidR="0012209D" w:rsidRDefault="0012209D" w:rsidP="00E43297">
            <w:r>
              <w:t>Last updated:</w:t>
            </w:r>
          </w:p>
        </w:tc>
        <w:tc>
          <w:tcPr>
            <w:tcW w:w="8418" w:type="dxa"/>
          </w:tcPr>
          <w:p w14:paraId="48EB41E3" w14:textId="21BE8659" w:rsidR="0012209D" w:rsidRDefault="008F21D0" w:rsidP="000E683D">
            <w:r>
              <w:t>May</w:t>
            </w:r>
            <w:r w:rsidR="004F6849">
              <w:t xml:space="preserve"> </w:t>
            </w:r>
            <w:r w:rsidR="00C9219B">
              <w:t>2018</w:t>
            </w:r>
          </w:p>
        </w:tc>
      </w:tr>
    </w:tbl>
    <w:p w14:paraId="61587364" w14:textId="77777777" w:rsidR="0012209D" w:rsidRDefault="0012209D" w:rsidP="0012209D"/>
    <w:p w14:paraId="2089528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2"/>
        <w:gridCol w:w="7125"/>
      </w:tblGrid>
      <w:tr w:rsidR="0012209D" w14:paraId="3C77563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F3102E0" w14:textId="77777777" w:rsidR="0012209D" w:rsidRDefault="0012209D" w:rsidP="00E43297">
            <w:r>
              <w:t>Post title:</w:t>
            </w:r>
          </w:p>
        </w:tc>
        <w:tc>
          <w:tcPr>
            <w:tcW w:w="7226" w:type="dxa"/>
          </w:tcPr>
          <w:p w14:paraId="26483DCB" w14:textId="6AFBE4D9" w:rsidR="0012209D" w:rsidRPr="00447FD8" w:rsidRDefault="008F21D0" w:rsidP="00FD5B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Deputy Head of School (Education) </w:t>
            </w:r>
          </w:p>
        </w:tc>
      </w:tr>
      <w:tr w:rsidR="0012209D" w14:paraId="50A7C2A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9340C32" w14:textId="77777777" w:rsidR="0012209D" w:rsidRDefault="0012209D" w:rsidP="00E43297">
            <w:r>
              <w:t>Academic Unit/Service:</w:t>
            </w:r>
          </w:p>
        </w:tc>
        <w:tc>
          <w:tcPr>
            <w:tcW w:w="7226" w:type="dxa"/>
          </w:tcPr>
          <w:p w14:paraId="6CC4B02E" w14:textId="2393D1EC" w:rsidR="0012209D" w:rsidRDefault="00D3235F" w:rsidP="00E43297">
            <w:r>
              <w:t>Southampton Business School</w:t>
            </w:r>
          </w:p>
        </w:tc>
      </w:tr>
      <w:tr w:rsidR="00C9219B" w14:paraId="46332C96" w14:textId="77777777" w:rsidTr="00E43297">
        <w:tc>
          <w:tcPr>
            <w:tcW w:w="2525" w:type="dxa"/>
            <w:shd w:val="clear" w:color="auto" w:fill="D9D9D9" w:themeFill="background1" w:themeFillShade="D9"/>
          </w:tcPr>
          <w:p w14:paraId="4EE2864F" w14:textId="77777777" w:rsidR="00C9219B" w:rsidRDefault="00C9219B" w:rsidP="00E43297">
            <w:r>
              <w:t>Faculty:</w:t>
            </w:r>
          </w:p>
        </w:tc>
        <w:tc>
          <w:tcPr>
            <w:tcW w:w="7226" w:type="dxa"/>
          </w:tcPr>
          <w:p w14:paraId="63476D26" w14:textId="08465E4A" w:rsidR="00C9219B" w:rsidRDefault="00D3235F" w:rsidP="00E43297">
            <w:r>
              <w:t>Social Sciences</w:t>
            </w:r>
          </w:p>
        </w:tc>
      </w:tr>
      <w:tr w:rsidR="000E683D" w14:paraId="7766105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44251E8" w14:textId="77777777" w:rsidR="000E683D" w:rsidRDefault="000E683D" w:rsidP="00E43297">
            <w:r>
              <w:t>Posts responsible to:</w:t>
            </w:r>
          </w:p>
        </w:tc>
        <w:tc>
          <w:tcPr>
            <w:tcW w:w="7226" w:type="dxa"/>
          </w:tcPr>
          <w:p w14:paraId="6F4CFBD5" w14:textId="55976EB6" w:rsidR="000E683D" w:rsidRPr="005508A2" w:rsidRDefault="007D64AF" w:rsidP="00B625EE">
            <w:r>
              <w:t xml:space="preserve">Head of School </w:t>
            </w:r>
            <w:r w:rsidR="00A84DA5">
              <w:t xml:space="preserve">(direct); </w:t>
            </w:r>
            <w:r w:rsidR="00B625EE">
              <w:t xml:space="preserve">Faculty </w:t>
            </w:r>
            <w:r>
              <w:t xml:space="preserve">Associate </w:t>
            </w:r>
            <w:r w:rsidRPr="000C25A9">
              <w:t xml:space="preserve">Dean </w:t>
            </w:r>
            <w:r>
              <w:t xml:space="preserve">(Education) </w:t>
            </w:r>
            <w:r w:rsidR="00A84DA5">
              <w:t>(indirect)</w:t>
            </w:r>
          </w:p>
        </w:tc>
      </w:tr>
      <w:tr w:rsidR="000E683D" w14:paraId="6D77F06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18CC9AC" w14:textId="77777777" w:rsidR="000E683D" w:rsidRDefault="000E683D" w:rsidP="00E43297">
            <w:r>
              <w:t>Posts responsible for:</w:t>
            </w:r>
          </w:p>
        </w:tc>
        <w:tc>
          <w:tcPr>
            <w:tcW w:w="7226" w:type="dxa"/>
          </w:tcPr>
          <w:p w14:paraId="312181A9" w14:textId="44A998F6" w:rsidR="000E683D" w:rsidRPr="005508A2" w:rsidRDefault="00D3235F" w:rsidP="0029043C">
            <w:r>
              <w:t>Assistant DHOSE and Education Development Office Team Leader (Direct) Heads of Departments, Senior Student Advisor and Programme Administration Manager (Indirect)</w:t>
            </w:r>
          </w:p>
        </w:tc>
      </w:tr>
      <w:tr w:rsidR="000E683D" w14:paraId="0F2318B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D4DBE16" w14:textId="77777777" w:rsidR="000E683D" w:rsidRDefault="000E683D" w:rsidP="00E43297">
            <w:r>
              <w:t>Post base:</w:t>
            </w:r>
          </w:p>
        </w:tc>
        <w:tc>
          <w:tcPr>
            <w:tcW w:w="7226" w:type="dxa"/>
          </w:tcPr>
          <w:p w14:paraId="1A822DC8" w14:textId="77777777" w:rsidR="000E683D" w:rsidRPr="005508A2" w:rsidRDefault="000E683D" w:rsidP="00A84DA5">
            <w:r>
              <w:t>Office-based</w:t>
            </w:r>
          </w:p>
        </w:tc>
      </w:tr>
    </w:tbl>
    <w:p w14:paraId="5076F94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93D3C" w14:paraId="2DB2AA30" w14:textId="77777777" w:rsidTr="00E43297">
        <w:tc>
          <w:tcPr>
            <w:tcW w:w="10137" w:type="dxa"/>
            <w:shd w:val="clear" w:color="auto" w:fill="D9D9D9" w:themeFill="background1" w:themeFillShade="D9"/>
          </w:tcPr>
          <w:p w14:paraId="7F45A407" w14:textId="77777777" w:rsidR="0012209D" w:rsidRPr="00293D3C" w:rsidRDefault="0012209D" w:rsidP="00E43297">
            <w:pPr>
              <w:rPr>
                <w:szCs w:val="18"/>
              </w:rPr>
            </w:pPr>
            <w:r w:rsidRPr="00293D3C">
              <w:rPr>
                <w:szCs w:val="18"/>
              </w:rPr>
              <w:t>Job purpose</w:t>
            </w:r>
          </w:p>
        </w:tc>
      </w:tr>
      <w:tr w:rsidR="0012209D" w:rsidRPr="00293D3C" w14:paraId="73ACB453" w14:textId="77777777" w:rsidTr="00293D3C">
        <w:trPr>
          <w:trHeight w:val="729"/>
        </w:trPr>
        <w:tc>
          <w:tcPr>
            <w:tcW w:w="10137" w:type="dxa"/>
          </w:tcPr>
          <w:p w14:paraId="3F441DFE" w14:textId="0996242C" w:rsidR="0029043C" w:rsidRPr="000F02F9" w:rsidRDefault="001F0162" w:rsidP="0029043C">
            <w:pPr>
              <w:pStyle w:val="agm"/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The </w:t>
            </w:r>
            <w:r w:rsidR="008F21D0">
              <w:rPr>
                <w:rFonts w:ascii="Lucida Sans" w:hAnsi="Lucida Sans"/>
                <w:sz w:val="18"/>
                <w:szCs w:val="18"/>
              </w:rPr>
              <w:t>Deputy Head</w:t>
            </w:r>
            <w:r w:rsidR="00A3630A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8F21D0">
              <w:rPr>
                <w:rFonts w:ascii="Lucida Sans" w:hAnsi="Lucida Sans"/>
                <w:sz w:val="18"/>
                <w:szCs w:val="18"/>
              </w:rPr>
              <w:t>of School</w:t>
            </w:r>
            <w:r>
              <w:rPr>
                <w:rFonts w:ascii="Lucida Sans" w:hAnsi="Lucida Sans"/>
                <w:sz w:val="18"/>
                <w:szCs w:val="18"/>
              </w:rPr>
              <w:t xml:space="preserve"> (Education) 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>support</w:t>
            </w:r>
            <w:r w:rsidR="00A3630A">
              <w:rPr>
                <w:rFonts w:ascii="Lucida Sans" w:hAnsi="Lucida Sans"/>
                <w:sz w:val="18"/>
                <w:szCs w:val="18"/>
              </w:rPr>
              <w:t>s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 xml:space="preserve"> the </w:t>
            </w:r>
            <w:r w:rsidR="006E0DEE">
              <w:rPr>
                <w:rFonts w:ascii="Lucida Sans" w:hAnsi="Lucida Sans"/>
                <w:sz w:val="18"/>
                <w:szCs w:val="18"/>
              </w:rPr>
              <w:t>Head of School and Faculty Associate Dean</w:t>
            </w:r>
            <w:r w:rsidR="00A3630A">
              <w:rPr>
                <w:rFonts w:ascii="Lucida Sans" w:hAnsi="Lucida Sans"/>
                <w:sz w:val="18"/>
                <w:szCs w:val="18"/>
              </w:rPr>
              <w:t xml:space="preserve"> (Education) 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 xml:space="preserve"> in the development of 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a School plan that reflects and delivers the </w:t>
            </w:r>
            <w:r w:rsidR="005145B2">
              <w:rPr>
                <w:rFonts w:ascii="Lucida Sans" w:hAnsi="Lucida Sans"/>
                <w:sz w:val="18"/>
                <w:szCs w:val="18"/>
              </w:rPr>
              <w:t xml:space="preserve">University and 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Faculty </w:t>
            </w:r>
            <w:r w:rsidR="005145B2">
              <w:rPr>
                <w:rFonts w:ascii="Lucida Sans" w:hAnsi="Lucida Sans"/>
                <w:sz w:val="18"/>
                <w:szCs w:val="18"/>
              </w:rPr>
              <w:t>strategies</w:t>
            </w:r>
            <w:r w:rsidR="00B90664">
              <w:rPr>
                <w:rFonts w:ascii="Lucida Sans" w:hAnsi="Lucida Sans"/>
                <w:sz w:val="18"/>
                <w:szCs w:val="18"/>
              </w:rPr>
              <w:t>, an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>d lead</w:t>
            </w:r>
            <w:r w:rsidR="00A3630A">
              <w:rPr>
                <w:rFonts w:ascii="Lucida Sans" w:hAnsi="Lucida Sans"/>
                <w:sz w:val="18"/>
                <w:szCs w:val="18"/>
              </w:rPr>
              <w:t>s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90664">
              <w:rPr>
                <w:rFonts w:ascii="Lucida Sans" w:hAnsi="Lucida Sans"/>
                <w:sz w:val="18"/>
                <w:szCs w:val="18"/>
              </w:rPr>
              <w:t>and monitor</w:t>
            </w:r>
            <w:r w:rsidR="00A3630A">
              <w:rPr>
                <w:rFonts w:ascii="Lucida Sans" w:hAnsi="Lucida Sans"/>
                <w:sz w:val="18"/>
                <w:szCs w:val="18"/>
              </w:rPr>
              <w:t>s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AA000A">
              <w:rPr>
                <w:rFonts w:ascii="Lucida Sans" w:hAnsi="Lucida Sans"/>
                <w:sz w:val="18"/>
                <w:szCs w:val="18"/>
              </w:rPr>
              <w:t>the implementation of that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90664">
              <w:rPr>
                <w:rFonts w:ascii="Lucida Sans" w:hAnsi="Lucida Sans"/>
                <w:sz w:val="18"/>
                <w:szCs w:val="18"/>
              </w:rPr>
              <w:t>plan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 xml:space="preserve"> within </w:t>
            </w:r>
            <w:r w:rsidR="00B90664">
              <w:rPr>
                <w:rFonts w:ascii="Lucida Sans" w:hAnsi="Lucida Sans"/>
                <w:sz w:val="18"/>
                <w:szCs w:val="18"/>
              </w:rPr>
              <w:t>the School</w:t>
            </w:r>
            <w:r w:rsidR="0029043C" w:rsidRPr="000F02F9">
              <w:rPr>
                <w:rFonts w:ascii="Lucida Sans" w:hAnsi="Lucida Sans"/>
                <w:sz w:val="18"/>
                <w:szCs w:val="18"/>
              </w:rPr>
              <w:t>.</w:t>
            </w:r>
          </w:p>
          <w:p w14:paraId="333F7237" w14:textId="409CCD12" w:rsidR="0029043C" w:rsidRPr="000F02F9" w:rsidRDefault="0029043C" w:rsidP="0029043C">
            <w:pPr>
              <w:pStyle w:val="agm"/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 w:rsidRPr="000F02F9">
              <w:rPr>
                <w:rFonts w:ascii="Lucida Sans" w:hAnsi="Lucida Sans"/>
                <w:sz w:val="18"/>
                <w:szCs w:val="18"/>
              </w:rPr>
              <w:t xml:space="preserve">The purpose of the </w:t>
            </w:r>
            <w:r w:rsidR="008F21D0">
              <w:rPr>
                <w:rFonts w:ascii="Lucida Sans" w:hAnsi="Lucida Sans"/>
                <w:bCs/>
                <w:sz w:val="18"/>
                <w:szCs w:val="18"/>
              </w:rPr>
              <w:t>Deputy Head of School</w:t>
            </w:r>
            <w:r w:rsidR="001F0162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Pr="000F02F9">
              <w:rPr>
                <w:rFonts w:ascii="Lucida Sans" w:hAnsi="Lucida Sans"/>
                <w:sz w:val="18"/>
                <w:szCs w:val="18"/>
              </w:rPr>
              <w:t>(</w:t>
            </w:r>
            <w:r>
              <w:rPr>
                <w:rFonts w:ascii="Lucida Sans" w:hAnsi="Lucida Sans"/>
                <w:sz w:val="18"/>
                <w:szCs w:val="18"/>
              </w:rPr>
              <w:t>Education</w:t>
            </w:r>
            <w:r w:rsidRPr="000F02F9">
              <w:rPr>
                <w:rFonts w:ascii="Lucida Sans" w:hAnsi="Lucida Sans"/>
                <w:sz w:val="18"/>
                <w:szCs w:val="18"/>
              </w:rPr>
              <w:t>) role is to:</w:t>
            </w:r>
          </w:p>
          <w:p w14:paraId="5CDFF44C" w14:textId="03C832C3" w:rsidR="00A3630A" w:rsidRDefault="00E53784" w:rsidP="003C33AC">
            <w:pPr>
              <w:pStyle w:val="agm"/>
              <w:numPr>
                <w:ilvl w:val="0"/>
                <w:numId w:val="26"/>
              </w:numPr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Assume</w:t>
            </w:r>
            <w:r w:rsidR="00A3630A">
              <w:rPr>
                <w:rFonts w:ascii="Lucida Sans" w:hAnsi="Lucida Sans"/>
                <w:sz w:val="18"/>
                <w:szCs w:val="18"/>
              </w:rPr>
              <w:t xml:space="preserve"> overall responsibility for ensuring compliance of the School’s educational activity with the University’s quality assurance and enhancement framework.</w:t>
            </w:r>
          </w:p>
          <w:p w14:paraId="240D72C3" w14:textId="5DB10746" w:rsidR="0029043C" w:rsidRDefault="0029043C" w:rsidP="003C33AC">
            <w:pPr>
              <w:pStyle w:val="agm"/>
              <w:numPr>
                <w:ilvl w:val="0"/>
                <w:numId w:val="26"/>
              </w:numPr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 w:rsidRPr="000F02F9">
              <w:rPr>
                <w:rFonts w:ascii="Lucida Sans" w:hAnsi="Lucida Sans"/>
                <w:sz w:val="18"/>
                <w:szCs w:val="18"/>
              </w:rPr>
              <w:t xml:space="preserve">Work with the </w:t>
            </w:r>
            <w:r w:rsidR="00B90664">
              <w:rPr>
                <w:rFonts w:ascii="Lucida Sans" w:hAnsi="Lucida Sans"/>
                <w:sz w:val="18"/>
                <w:szCs w:val="18"/>
              </w:rPr>
              <w:t>Faculty Associate Dean</w:t>
            </w:r>
            <w:r w:rsidRPr="000F02F9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90664">
              <w:rPr>
                <w:rFonts w:ascii="Lucida Sans" w:hAnsi="Lucida Sans"/>
                <w:sz w:val="18"/>
                <w:szCs w:val="18"/>
              </w:rPr>
              <w:t>(</w:t>
            </w:r>
            <w:r>
              <w:rPr>
                <w:rFonts w:ascii="Lucida Sans" w:hAnsi="Lucida Sans"/>
                <w:sz w:val="18"/>
                <w:szCs w:val="18"/>
              </w:rPr>
              <w:t>Education</w:t>
            </w:r>
            <w:r w:rsidR="00B90664">
              <w:rPr>
                <w:rFonts w:ascii="Lucida Sans" w:hAnsi="Lucida Sans"/>
                <w:sz w:val="18"/>
                <w:szCs w:val="18"/>
              </w:rPr>
              <w:t>)</w:t>
            </w:r>
            <w:r w:rsidRPr="000F02F9">
              <w:rPr>
                <w:rFonts w:ascii="Lucida Sans" w:hAnsi="Lucida Sans"/>
                <w:sz w:val="18"/>
                <w:szCs w:val="18"/>
              </w:rPr>
              <w:t xml:space="preserve"> and other </w:t>
            </w:r>
            <w:r w:rsidR="008F21D0">
              <w:rPr>
                <w:rFonts w:ascii="Lucida Sans" w:hAnsi="Lucida Sans"/>
                <w:sz w:val="18"/>
                <w:szCs w:val="18"/>
              </w:rPr>
              <w:t>Deputy Heads of School (</w:t>
            </w:r>
            <w:r w:rsidR="001F0162">
              <w:rPr>
                <w:rFonts w:ascii="Lucida Sans" w:hAnsi="Lucida Sans"/>
                <w:sz w:val="18"/>
                <w:szCs w:val="18"/>
              </w:rPr>
              <w:t>Education</w:t>
            </w:r>
            <w:r w:rsidR="008F21D0">
              <w:rPr>
                <w:rFonts w:ascii="Lucida Sans" w:hAnsi="Lucida Sans"/>
                <w:sz w:val="18"/>
                <w:szCs w:val="18"/>
              </w:rPr>
              <w:t>)</w:t>
            </w:r>
            <w:r w:rsidR="001F0162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in the Faculty </w:t>
            </w:r>
            <w:r w:rsidR="00944957">
              <w:rPr>
                <w:rFonts w:ascii="Lucida Sans" w:hAnsi="Lucida Sans"/>
                <w:sz w:val="18"/>
                <w:szCs w:val="18"/>
              </w:rPr>
              <w:t>o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n the development of a Faculty education strategy that reflects and delivers the </w:t>
            </w:r>
            <w:r w:rsidRPr="000F02F9">
              <w:rPr>
                <w:rFonts w:ascii="Lucida Sans" w:hAnsi="Lucida Sans"/>
                <w:sz w:val="18"/>
                <w:szCs w:val="18"/>
              </w:rPr>
              <w:t xml:space="preserve">University </w:t>
            </w:r>
            <w:r>
              <w:rPr>
                <w:rFonts w:ascii="Lucida Sans" w:hAnsi="Lucida Sans"/>
                <w:sz w:val="18"/>
                <w:szCs w:val="18"/>
              </w:rPr>
              <w:t>education</w:t>
            </w:r>
            <w:r w:rsidRPr="000F02F9">
              <w:rPr>
                <w:rFonts w:ascii="Lucida Sans" w:hAnsi="Lucida Sans"/>
                <w:sz w:val="18"/>
                <w:szCs w:val="18"/>
              </w:rPr>
              <w:t xml:space="preserve"> strategy. </w:t>
            </w:r>
          </w:p>
          <w:p w14:paraId="3236493F" w14:textId="045C5466" w:rsidR="00B90664" w:rsidRDefault="0029043C" w:rsidP="003C33AC">
            <w:pPr>
              <w:pStyle w:val="agm"/>
              <w:numPr>
                <w:ilvl w:val="0"/>
                <w:numId w:val="26"/>
              </w:numPr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 w:rsidRPr="00765FC2">
              <w:rPr>
                <w:rFonts w:ascii="Lucida Sans" w:hAnsi="Lucida Sans"/>
                <w:sz w:val="18"/>
                <w:szCs w:val="18"/>
              </w:rPr>
              <w:t xml:space="preserve">Lead, manage, and promote the 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development </w:t>
            </w:r>
            <w:r w:rsidR="009262CE">
              <w:rPr>
                <w:rFonts w:ascii="Lucida Sans" w:hAnsi="Lucida Sans"/>
                <w:sz w:val="18"/>
                <w:szCs w:val="18"/>
              </w:rPr>
              <w:t xml:space="preserve">and implementation </w:t>
            </w:r>
            <w:r w:rsidR="00B90664">
              <w:rPr>
                <w:rFonts w:ascii="Lucida Sans" w:hAnsi="Lucida Sans"/>
                <w:sz w:val="18"/>
                <w:szCs w:val="18"/>
              </w:rPr>
              <w:t xml:space="preserve">of a School </w:t>
            </w:r>
            <w:r w:rsidR="009262CE">
              <w:rPr>
                <w:rFonts w:ascii="Lucida Sans" w:hAnsi="Lucida Sans"/>
                <w:sz w:val="18"/>
                <w:szCs w:val="18"/>
              </w:rPr>
              <w:t xml:space="preserve">education </w:t>
            </w:r>
            <w:r w:rsidR="00B90664">
              <w:rPr>
                <w:rFonts w:ascii="Lucida Sans" w:hAnsi="Lucida Sans"/>
                <w:sz w:val="18"/>
                <w:szCs w:val="18"/>
              </w:rPr>
              <w:t>plan that reflects and delivers the Faculty education strategy.</w:t>
            </w:r>
          </w:p>
          <w:p w14:paraId="34583711" w14:textId="2F26E352" w:rsidR="00B90664" w:rsidRDefault="00B90664" w:rsidP="003C33AC">
            <w:pPr>
              <w:pStyle w:val="agm"/>
              <w:numPr>
                <w:ilvl w:val="0"/>
                <w:numId w:val="26"/>
              </w:numPr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Monitor </w:t>
            </w:r>
            <w:r w:rsidR="009262CE">
              <w:rPr>
                <w:rFonts w:ascii="Lucida Sans" w:hAnsi="Lucida Sans"/>
                <w:sz w:val="18"/>
                <w:szCs w:val="18"/>
              </w:rPr>
              <w:t>the implementation of the School education plan against KPIs set by the Faculty.</w:t>
            </w:r>
          </w:p>
          <w:p w14:paraId="572442CD" w14:textId="0EA394EB" w:rsidR="00CA5DC0" w:rsidRDefault="00944957" w:rsidP="003C33AC">
            <w:pPr>
              <w:pStyle w:val="agm"/>
              <w:numPr>
                <w:ilvl w:val="0"/>
                <w:numId w:val="26"/>
              </w:numPr>
              <w:spacing w:before="120" w:after="120" w:line="240" w:lineRule="auto"/>
              <w:jc w:val="left"/>
              <w:rPr>
                <w:rFonts w:ascii="Lucida Sans" w:hAnsi="Lucida Sans"/>
                <w:sz w:val="18"/>
                <w:szCs w:val="18"/>
              </w:rPr>
            </w:pPr>
            <w:r w:rsidRPr="0029043C">
              <w:rPr>
                <w:rFonts w:ascii="Lucida Sans" w:hAnsi="Lucida Sans"/>
                <w:sz w:val="18"/>
                <w:szCs w:val="18"/>
              </w:rPr>
              <w:t xml:space="preserve">Lead on </w:t>
            </w:r>
            <w:r w:rsidR="00B90664">
              <w:rPr>
                <w:rFonts w:ascii="Lucida Sans" w:hAnsi="Lucida Sans"/>
                <w:sz w:val="18"/>
                <w:szCs w:val="18"/>
              </w:rPr>
              <w:t>School-level</w:t>
            </w:r>
            <w:r w:rsidRPr="0029043C">
              <w:rPr>
                <w:rFonts w:ascii="Lucida Sans" w:hAnsi="Lucida Sans"/>
                <w:sz w:val="18"/>
                <w:szCs w:val="18"/>
              </w:rPr>
              <w:t xml:space="preserve"> preparation and monitoring in relation to processes </w:t>
            </w:r>
            <w:r w:rsidR="005145B2">
              <w:rPr>
                <w:rFonts w:ascii="Lucida Sans" w:hAnsi="Lucida Sans"/>
                <w:sz w:val="18"/>
                <w:szCs w:val="18"/>
              </w:rPr>
              <w:t>such as</w:t>
            </w:r>
            <w:r w:rsidRPr="0029043C">
              <w:rPr>
                <w:rFonts w:ascii="Lucida Sans" w:hAnsi="Lucida Sans"/>
                <w:sz w:val="18"/>
                <w:szCs w:val="18"/>
              </w:rPr>
              <w:t xml:space="preserve"> NSS and TEF</w:t>
            </w:r>
            <w:r w:rsidR="00B90664">
              <w:rPr>
                <w:rFonts w:ascii="Lucida Sans" w:hAnsi="Lucida Sans"/>
                <w:sz w:val="18"/>
                <w:szCs w:val="18"/>
              </w:rPr>
              <w:t>.</w:t>
            </w:r>
          </w:p>
          <w:p w14:paraId="47827AC5" w14:textId="311DC3E1" w:rsidR="003C33AC" w:rsidRPr="003C33AC" w:rsidRDefault="003C33AC" w:rsidP="003C33AC">
            <w:pPr>
              <w:pStyle w:val="ListParagraph"/>
              <w:numPr>
                <w:ilvl w:val="0"/>
                <w:numId w:val="26"/>
              </w:numPr>
              <w:rPr>
                <w:szCs w:val="18"/>
              </w:rPr>
            </w:pPr>
            <w:r w:rsidRPr="00A5015E">
              <w:rPr>
                <w:szCs w:val="18"/>
              </w:rPr>
              <w:t>Lead the way, as a senior member of the School and Faculty, in delivering an exceptional student experience.</w:t>
            </w:r>
          </w:p>
        </w:tc>
      </w:tr>
    </w:tbl>
    <w:p w14:paraId="438ECF69" w14:textId="77777777" w:rsidR="00AF1DD6" w:rsidRDefault="00AF1DD6" w:rsidP="0012209D">
      <w:pPr>
        <w:rPr>
          <w:szCs w:val="18"/>
        </w:rPr>
      </w:pPr>
    </w:p>
    <w:p w14:paraId="5DF06774" w14:textId="77777777" w:rsidR="003C33AC" w:rsidRDefault="003C33AC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:rsidRPr="00293D3C" w14:paraId="1D7935E3" w14:textId="77777777" w:rsidTr="007C3A1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58B7C157" w14:textId="23F7FF55" w:rsidR="0012209D" w:rsidRPr="00293D3C" w:rsidRDefault="0012209D" w:rsidP="00E43297">
            <w:pPr>
              <w:rPr>
                <w:szCs w:val="18"/>
              </w:rPr>
            </w:pPr>
            <w:r w:rsidRPr="00293D3C">
              <w:rPr>
                <w:szCs w:val="18"/>
              </w:rP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C810A6A" w14:textId="77777777" w:rsidR="0012209D" w:rsidRPr="00293D3C" w:rsidRDefault="0012209D" w:rsidP="00E43297">
            <w:pPr>
              <w:rPr>
                <w:szCs w:val="18"/>
              </w:rPr>
            </w:pPr>
            <w:r w:rsidRPr="00293D3C">
              <w:rPr>
                <w:szCs w:val="18"/>
              </w:rPr>
              <w:t>% Time</w:t>
            </w:r>
          </w:p>
        </w:tc>
      </w:tr>
      <w:tr w:rsidR="0012209D" w:rsidRPr="00293D3C" w14:paraId="2055ED6A" w14:textId="77777777" w:rsidTr="005B39E5">
        <w:trPr>
          <w:cantSplit/>
        </w:trPr>
        <w:tc>
          <w:tcPr>
            <w:tcW w:w="601" w:type="dxa"/>
            <w:tcBorders>
              <w:right w:val="nil"/>
            </w:tcBorders>
          </w:tcPr>
          <w:p w14:paraId="4E1513D7" w14:textId="77777777" w:rsidR="0012209D" w:rsidRPr="00293D3C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4D310CEB" w14:textId="124F2232" w:rsidR="00336D3B" w:rsidRPr="00DA22F7" w:rsidRDefault="00D05BE6" w:rsidP="001271D5">
            <w:pPr>
              <w:spacing w:before="120" w:after="120"/>
              <w:rPr>
                <w:b/>
              </w:rPr>
            </w:pPr>
            <w:r w:rsidRPr="00DA22F7">
              <w:rPr>
                <w:b/>
              </w:rPr>
              <w:t>University level</w:t>
            </w:r>
            <w:r w:rsidR="0016097A" w:rsidRPr="00DA22F7">
              <w:t xml:space="preserve"> </w:t>
            </w:r>
          </w:p>
          <w:p w14:paraId="249E3669" w14:textId="5FF66082" w:rsidR="001271D5" w:rsidRPr="00DA22F7" w:rsidRDefault="00690FD5" w:rsidP="001271D5">
            <w:pPr>
              <w:pStyle w:val="ListParagraph"/>
              <w:numPr>
                <w:ilvl w:val="0"/>
                <w:numId w:val="23"/>
              </w:numPr>
            </w:pPr>
            <w:r w:rsidRPr="00DA22F7">
              <w:t xml:space="preserve">Work in </w:t>
            </w:r>
            <w:r w:rsidR="001271D5" w:rsidRPr="00DA22F7">
              <w:t xml:space="preserve">collaboration with colleagues responsible for governance of education across the University </w:t>
            </w:r>
            <w:r w:rsidRPr="00DA22F7">
              <w:t xml:space="preserve">to share and harmonize </w:t>
            </w:r>
            <w:r w:rsidR="008368A4" w:rsidRPr="00DA22F7">
              <w:t xml:space="preserve">good </w:t>
            </w:r>
            <w:r w:rsidRPr="00DA22F7">
              <w:t>practice to ensure consistency</w:t>
            </w:r>
            <w:r w:rsidR="00DA3C43" w:rsidRPr="00DA22F7">
              <w:t xml:space="preserve">, efficiency and effectiveness </w:t>
            </w:r>
            <w:r w:rsidRPr="00DA22F7">
              <w:t xml:space="preserve">of </w:t>
            </w:r>
            <w:r w:rsidR="002D2EE5">
              <w:t>e</w:t>
            </w:r>
            <w:r w:rsidR="008B260F" w:rsidRPr="00DA22F7">
              <w:t xml:space="preserve">ducation practice </w:t>
            </w:r>
            <w:r w:rsidRPr="00DA22F7">
              <w:t>and processes</w:t>
            </w:r>
            <w:r w:rsidR="001271D5" w:rsidRPr="00DA22F7">
              <w:t>, and to develop and enhance the experience of our students</w:t>
            </w:r>
            <w:r w:rsidRPr="00DA22F7">
              <w:t xml:space="preserve">. </w:t>
            </w:r>
          </w:p>
          <w:p w14:paraId="4C0B814A" w14:textId="1E093361" w:rsidR="00DA22F7" w:rsidRDefault="001271D5" w:rsidP="00DA22F7">
            <w:pPr>
              <w:pStyle w:val="ListParagraph"/>
              <w:numPr>
                <w:ilvl w:val="0"/>
                <w:numId w:val="23"/>
              </w:numPr>
            </w:pPr>
            <w:r w:rsidRPr="00DA22F7">
              <w:t>Contribute to University-level networks, w</w:t>
            </w:r>
            <w:r w:rsidR="00DA22F7" w:rsidRPr="00DA22F7">
              <w:t>orking groups and committees to support delivery of the University’</w:t>
            </w:r>
            <w:r w:rsidR="00DA22F7">
              <w:t>s education s</w:t>
            </w:r>
            <w:r w:rsidR="00DA22F7" w:rsidRPr="00DA22F7">
              <w:t>trategy</w:t>
            </w:r>
            <w:r w:rsidR="00DA22F7">
              <w:t>.</w:t>
            </w:r>
          </w:p>
          <w:p w14:paraId="51719F3B" w14:textId="18A6A4C3" w:rsidR="00DA22F7" w:rsidRPr="00DA22F7" w:rsidRDefault="00DA22F7" w:rsidP="00DA22F7"/>
        </w:tc>
        <w:tc>
          <w:tcPr>
            <w:tcW w:w="1018" w:type="dxa"/>
          </w:tcPr>
          <w:p w14:paraId="0EF67793" w14:textId="313DF266" w:rsidR="0012209D" w:rsidRPr="00293D3C" w:rsidRDefault="00AC1C00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="007F6990">
              <w:rPr>
                <w:szCs w:val="18"/>
              </w:rPr>
              <w:t>0</w:t>
            </w:r>
            <w:r w:rsidR="00E804B0" w:rsidRPr="00293D3C">
              <w:rPr>
                <w:szCs w:val="18"/>
              </w:rPr>
              <w:t xml:space="preserve"> %</w:t>
            </w:r>
          </w:p>
        </w:tc>
      </w:tr>
      <w:tr w:rsidR="00A84DA5" w:rsidRPr="00293D3C" w14:paraId="61BB09D6" w14:textId="77777777" w:rsidTr="005B39E5">
        <w:trPr>
          <w:cantSplit/>
        </w:trPr>
        <w:tc>
          <w:tcPr>
            <w:tcW w:w="601" w:type="dxa"/>
            <w:tcBorders>
              <w:right w:val="nil"/>
            </w:tcBorders>
          </w:tcPr>
          <w:p w14:paraId="1B81B907" w14:textId="77777777" w:rsidR="00A84DA5" w:rsidRPr="00293D3C" w:rsidRDefault="00A84DA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04C7630B" w14:textId="33EED7D9" w:rsidR="00D05BE6" w:rsidRPr="00DA22F7" w:rsidRDefault="00D05BE6" w:rsidP="000D7B82">
            <w:pPr>
              <w:spacing w:before="120" w:after="120"/>
              <w:rPr>
                <w:b/>
                <w:szCs w:val="18"/>
              </w:rPr>
            </w:pPr>
            <w:r w:rsidRPr="00DA22F7">
              <w:rPr>
                <w:b/>
                <w:szCs w:val="18"/>
              </w:rPr>
              <w:t>Faculty level</w:t>
            </w:r>
          </w:p>
          <w:p w14:paraId="0478DA08" w14:textId="29D579E6" w:rsidR="00DA22F7" w:rsidRPr="001F0162" w:rsidRDefault="00DA22F7" w:rsidP="001F0162">
            <w:pPr>
              <w:pStyle w:val="ListParagraph"/>
              <w:numPr>
                <w:ilvl w:val="0"/>
                <w:numId w:val="23"/>
              </w:numPr>
              <w:rPr>
                <w:b/>
                <w:szCs w:val="18"/>
              </w:rPr>
            </w:pPr>
            <w:r w:rsidRPr="00DA22F7">
              <w:rPr>
                <w:szCs w:val="18"/>
              </w:rPr>
              <w:t xml:space="preserve">Work with the Faculty Associate Dean (Education) and other </w:t>
            </w:r>
            <w:r w:rsidR="008F21D0">
              <w:rPr>
                <w:szCs w:val="18"/>
              </w:rPr>
              <w:t>Deputy Heads of School (</w:t>
            </w:r>
            <w:r w:rsidR="001F0162">
              <w:rPr>
                <w:szCs w:val="18"/>
              </w:rPr>
              <w:t>Education</w:t>
            </w:r>
            <w:r w:rsidR="008F21D0">
              <w:rPr>
                <w:szCs w:val="18"/>
              </w:rPr>
              <w:t>)</w:t>
            </w:r>
            <w:r w:rsidR="001F0162">
              <w:rPr>
                <w:szCs w:val="18"/>
              </w:rPr>
              <w:t xml:space="preserve"> </w:t>
            </w:r>
            <w:r w:rsidR="008F21D0">
              <w:rPr>
                <w:szCs w:val="18"/>
              </w:rPr>
              <w:t xml:space="preserve">in </w:t>
            </w:r>
            <w:r w:rsidRPr="001F0162">
              <w:rPr>
                <w:szCs w:val="18"/>
              </w:rPr>
              <w:t>the Faculty on the development of a Faculty education strategy that reflects and delivers the University education strategy.</w:t>
            </w:r>
          </w:p>
          <w:p w14:paraId="6AFA8BB0" w14:textId="3B21E72E" w:rsidR="008A5DED" w:rsidRPr="00DE31D8" w:rsidRDefault="00DA22F7" w:rsidP="00DA22F7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DA22F7">
              <w:t xml:space="preserve">Contribute to Faculty-level networks, working groups and committees to support delivery of the </w:t>
            </w:r>
            <w:r>
              <w:t>Faculty and University</w:t>
            </w:r>
            <w:r w:rsidRPr="00DA22F7">
              <w:t xml:space="preserve"> education s</w:t>
            </w:r>
            <w:r>
              <w:t>trategies</w:t>
            </w:r>
            <w:r w:rsidRPr="00DA22F7">
              <w:t>.</w:t>
            </w:r>
          </w:p>
          <w:p w14:paraId="2F18FE2B" w14:textId="07E0081C" w:rsidR="00DE31D8" w:rsidRPr="00DA22F7" w:rsidRDefault="00DE31D8" w:rsidP="00DA22F7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>
              <w:t>Serve on the Faculty’s key education-focussed committee(s).</w:t>
            </w:r>
          </w:p>
          <w:p w14:paraId="741081B1" w14:textId="423E4C1B" w:rsidR="00DA22F7" w:rsidRPr="00DA22F7" w:rsidRDefault="00DA22F7" w:rsidP="00DA22F7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384C49E1" w14:textId="323A2E97" w:rsidR="00A84DA5" w:rsidRPr="00293D3C" w:rsidRDefault="00AC1C00" w:rsidP="00E43297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="007F6990">
              <w:rPr>
                <w:szCs w:val="18"/>
              </w:rPr>
              <w:t>0</w:t>
            </w:r>
            <w:r w:rsidR="00DF2B3F" w:rsidRPr="00293D3C">
              <w:rPr>
                <w:szCs w:val="18"/>
              </w:rPr>
              <w:t>%</w:t>
            </w:r>
          </w:p>
        </w:tc>
      </w:tr>
      <w:tr w:rsidR="000A100D" w:rsidRPr="00293D3C" w14:paraId="45D844CC" w14:textId="77777777" w:rsidTr="00723930">
        <w:tc>
          <w:tcPr>
            <w:tcW w:w="601" w:type="dxa"/>
            <w:tcBorders>
              <w:right w:val="nil"/>
            </w:tcBorders>
          </w:tcPr>
          <w:p w14:paraId="5F75536C" w14:textId="3A7A201F" w:rsidR="000A100D" w:rsidRPr="00293D3C" w:rsidRDefault="000A100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799784BC" w14:textId="51FA19A4" w:rsidR="00AB2C79" w:rsidRPr="009635B3" w:rsidRDefault="00296EEB" w:rsidP="00D05BE6">
            <w:pPr>
              <w:rPr>
                <w:b/>
                <w:szCs w:val="18"/>
              </w:rPr>
            </w:pPr>
            <w:r w:rsidRPr="00296EEB">
              <w:rPr>
                <w:b/>
                <w:szCs w:val="18"/>
              </w:rPr>
              <w:t>School level</w:t>
            </w:r>
          </w:p>
          <w:p w14:paraId="0462C013" w14:textId="77777777" w:rsidR="00AB2C79" w:rsidRPr="00AB2C79" w:rsidRDefault="00AB2C79" w:rsidP="00AB2C79">
            <w:pPr>
              <w:rPr>
                <w:i/>
              </w:rPr>
            </w:pPr>
            <w:r w:rsidRPr="00AB2C79">
              <w:rPr>
                <w:i/>
              </w:rPr>
              <w:t xml:space="preserve">Education Quality </w:t>
            </w:r>
          </w:p>
          <w:p w14:paraId="30EAD2B6" w14:textId="56A8D043" w:rsidR="002D2EE5" w:rsidRDefault="009977EC" w:rsidP="00AB2C79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 xml:space="preserve">Take responsibility for the </w:t>
            </w:r>
            <w:r w:rsidRPr="00AD7DFD">
              <w:t xml:space="preserve">management and enhancement of </w:t>
            </w:r>
            <w:r>
              <w:t xml:space="preserve">the School’s </w:t>
            </w:r>
            <w:r w:rsidRPr="00AD7DFD">
              <w:t>education activity</w:t>
            </w:r>
            <w:r>
              <w:t xml:space="preserve">, ensuring </w:t>
            </w:r>
            <w:r w:rsidR="002D2EE5" w:rsidRPr="00D062B9">
              <w:rPr>
                <w:szCs w:val="18"/>
              </w:rPr>
              <w:t xml:space="preserve">that </w:t>
            </w:r>
            <w:r>
              <w:rPr>
                <w:szCs w:val="18"/>
              </w:rPr>
              <w:t xml:space="preserve">it </w:t>
            </w:r>
            <w:r w:rsidR="002D2EE5" w:rsidRPr="00D062B9">
              <w:rPr>
                <w:szCs w:val="18"/>
              </w:rPr>
              <w:t>complies with the University’s quality assurance and enhancement framework</w:t>
            </w:r>
            <w:r>
              <w:rPr>
                <w:szCs w:val="18"/>
              </w:rPr>
              <w:t xml:space="preserve">, and take </w:t>
            </w:r>
            <w:r w:rsidR="002D2EE5">
              <w:rPr>
                <w:szCs w:val="18"/>
              </w:rPr>
              <w:t xml:space="preserve">responsibility for reporting </w:t>
            </w:r>
            <w:r w:rsidR="00791E9E">
              <w:rPr>
                <w:szCs w:val="18"/>
              </w:rPr>
              <w:t xml:space="preserve">and responding </w:t>
            </w:r>
            <w:r w:rsidR="002D2EE5">
              <w:rPr>
                <w:szCs w:val="18"/>
              </w:rPr>
              <w:t>to the University</w:t>
            </w:r>
            <w:r>
              <w:rPr>
                <w:szCs w:val="18"/>
              </w:rPr>
              <w:t>’s</w:t>
            </w:r>
            <w:r w:rsidR="002D2EE5">
              <w:rPr>
                <w:szCs w:val="18"/>
              </w:rPr>
              <w:t xml:space="preserve"> Academic Quality and Standards Committee (and so to Senate) in accordance with that framework</w:t>
            </w:r>
            <w:r w:rsidR="00791E9E">
              <w:rPr>
                <w:szCs w:val="18"/>
              </w:rPr>
              <w:t xml:space="preserve"> and </w:t>
            </w:r>
            <w:r w:rsidR="00791E9E" w:rsidRPr="00791E9E">
              <w:rPr>
                <w:szCs w:val="18"/>
              </w:rPr>
              <w:t>the annual quality governance cycle</w:t>
            </w:r>
            <w:r w:rsidR="002D2EE5">
              <w:rPr>
                <w:szCs w:val="18"/>
              </w:rPr>
              <w:t>.</w:t>
            </w:r>
          </w:p>
          <w:p w14:paraId="7D43D1AE" w14:textId="2EF699FE" w:rsidR="00AB2C79" w:rsidRDefault="00AB2C79" w:rsidP="00AB2C79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 xml:space="preserve">Working with the Head of School and in consultation with the Faculty Associate Dean </w:t>
            </w:r>
            <w:r w:rsidR="006A1763">
              <w:t>(</w:t>
            </w:r>
            <w:r>
              <w:t>Education</w:t>
            </w:r>
            <w:r w:rsidR="006A1763" w:rsidRPr="00D062B9">
              <w:t>)</w:t>
            </w:r>
            <w:r w:rsidR="00791E9E">
              <w:t xml:space="preserve"> and the Faculty Academic Registrar</w:t>
            </w:r>
            <w:r w:rsidR="00DE31D8" w:rsidRPr="00D062B9">
              <w:t>,</w:t>
            </w:r>
            <w:r w:rsidRPr="00D062B9">
              <w:t xml:space="preserve"> implement effective and efficient </w:t>
            </w:r>
            <w:r w:rsidR="00DE31D8" w:rsidRPr="00D062B9">
              <w:t>School</w:t>
            </w:r>
            <w:r w:rsidRPr="00D062B9">
              <w:t xml:space="preserve"> </w:t>
            </w:r>
            <w:r w:rsidR="00DE31D8" w:rsidRPr="00D062B9">
              <w:t xml:space="preserve">structures and processes to deliver against the School plan and the Faculty strategy as well as comply with the </w:t>
            </w:r>
            <w:r w:rsidR="00DE31D8" w:rsidRPr="00D04A71">
              <w:rPr>
                <w:szCs w:val="18"/>
              </w:rPr>
              <w:t>University’s quality assurance and enhancement framework</w:t>
            </w:r>
            <w:r w:rsidR="00DE31D8" w:rsidRPr="00D062B9">
              <w:t>.</w:t>
            </w:r>
          </w:p>
          <w:p w14:paraId="38442BC1" w14:textId="1DE24B3D" w:rsidR="0010212F" w:rsidRDefault="0010212F" w:rsidP="00AB2C79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 xml:space="preserve">Implement and monitor a </w:t>
            </w:r>
            <w:r w:rsidRPr="00D04A71">
              <w:t>School education action plan</w:t>
            </w:r>
            <w:r w:rsidR="00F64401">
              <w:t xml:space="preserve"> that takes an evidence-based approach to</w:t>
            </w:r>
            <w:r w:rsidR="00F64401" w:rsidRPr="00F64401">
              <w:t xml:space="preserve"> enhancing education practice and delivery using analysis of all relevant data sets including </w:t>
            </w:r>
            <w:r>
              <w:t xml:space="preserve">the results of student experience surveys, student academic outcomes, themes and trends arising from appeals, complaints and fitness to practice, in order to enhance performance. </w:t>
            </w:r>
          </w:p>
          <w:p w14:paraId="3161A5DC" w14:textId="07E28A3D" w:rsidR="0010212F" w:rsidRPr="009635B3" w:rsidRDefault="0010212F" w:rsidP="002D2EE5">
            <w:pPr>
              <w:pStyle w:val="ListParagraph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9635B3">
              <w:t xml:space="preserve">Assume responsibility for </w:t>
            </w:r>
            <w:r w:rsidRPr="00D04A71">
              <w:t xml:space="preserve">ensuring that </w:t>
            </w:r>
            <w:r w:rsidR="009635B3" w:rsidRPr="00D04A71">
              <w:t xml:space="preserve">the School </w:t>
            </w:r>
            <w:r w:rsidR="00F64401" w:rsidRPr="00D04A71">
              <w:t>programmes portfolio is aligned with Faculty strategy</w:t>
            </w:r>
            <w:r w:rsidR="009635B3" w:rsidRPr="009635B3">
              <w:t>, and that programme</w:t>
            </w:r>
            <w:r w:rsidRPr="009635B3">
              <w:t xml:space="preserve"> development, approval and review is compliant with University standards and in alignment with University and Faculty strategy.</w:t>
            </w:r>
          </w:p>
          <w:p w14:paraId="5D315879" w14:textId="06A156D6" w:rsidR="005B3375" w:rsidRPr="009635B3" w:rsidRDefault="00AB2C79" w:rsidP="005B3375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>Working with the Head of School</w:t>
            </w:r>
            <w:r w:rsidR="0010212F">
              <w:t xml:space="preserve"> and Faculty Associate Dean (Education), </w:t>
            </w:r>
            <w:r w:rsidR="00E675FE">
              <w:t xml:space="preserve">support the </w:t>
            </w:r>
            <w:r w:rsidR="0010212F" w:rsidRPr="00E675FE">
              <w:t>develop</w:t>
            </w:r>
            <w:r w:rsidR="00E675FE" w:rsidRPr="00E675FE">
              <w:t>ment of</w:t>
            </w:r>
            <w:r w:rsidR="0010212F" w:rsidRPr="00E675FE">
              <w:t xml:space="preserve"> </w:t>
            </w:r>
            <w:r w:rsidR="0010212F" w:rsidRPr="00D04A71">
              <w:t xml:space="preserve">education KPIs for the School, and </w:t>
            </w:r>
            <w:r w:rsidRPr="00D04A71">
              <w:t xml:space="preserve">monitor and evaluate </w:t>
            </w:r>
            <w:r w:rsidR="0010212F" w:rsidRPr="00D04A71">
              <w:t>performance</w:t>
            </w:r>
            <w:r w:rsidR="0010212F">
              <w:t xml:space="preserve"> against the latter</w:t>
            </w:r>
            <w:r>
              <w:t>.</w:t>
            </w:r>
          </w:p>
          <w:p w14:paraId="132C7FA2" w14:textId="27B9BC9A" w:rsidR="00532370" w:rsidRPr="00532370" w:rsidRDefault="00532370" w:rsidP="00532370">
            <w:pPr>
              <w:rPr>
                <w:i/>
              </w:rPr>
            </w:pPr>
            <w:r w:rsidRPr="00532370">
              <w:rPr>
                <w:i/>
              </w:rPr>
              <w:t>Recruitment and admissions</w:t>
            </w:r>
          </w:p>
          <w:p w14:paraId="2D292F16" w14:textId="4200D498" w:rsidR="00532370" w:rsidRDefault="00845B96" w:rsidP="0053237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 xml:space="preserve">Support </w:t>
            </w:r>
            <w:r w:rsidR="00532370" w:rsidRPr="00203617">
              <w:t xml:space="preserve">the Head of School </w:t>
            </w:r>
            <w:r>
              <w:t xml:space="preserve">in agreeing </w:t>
            </w:r>
            <w:r w:rsidR="00532370" w:rsidRPr="00203617">
              <w:t xml:space="preserve">qualitative and quantitative targets for the </w:t>
            </w:r>
            <w:r w:rsidR="00532370">
              <w:t>recruitment of students</w:t>
            </w:r>
            <w:r>
              <w:t xml:space="preserve">, </w:t>
            </w:r>
            <w:r w:rsidRPr="00203617">
              <w:t>and ensur</w:t>
            </w:r>
            <w:r>
              <w:t>e that these targets</w:t>
            </w:r>
            <w:r w:rsidR="00532370">
              <w:t xml:space="preserve"> are met</w:t>
            </w:r>
            <w:r>
              <w:t>.</w:t>
            </w:r>
            <w:r w:rsidR="00532370" w:rsidRPr="00203617">
              <w:t xml:space="preserve"> </w:t>
            </w:r>
          </w:p>
          <w:p w14:paraId="470F5121" w14:textId="5F442DEF" w:rsidR="00845B96" w:rsidRPr="00203617" w:rsidRDefault="00845B96" w:rsidP="0053237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 xml:space="preserve">Assume oversight of </w:t>
            </w:r>
            <w:r w:rsidRPr="00203617">
              <w:t xml:space="preserve">recruitment, outreach and admissions activities to ensure </w:t>
            </w:r>
            <w:r>
              <w:t xml:space="preserve">that the </w:t>
            </w:r>
            <w:r w:rsidRPr="00203617">
              <w:t xml:space="preserve">School </w:t>
            </w:r>
            <w:r>
              <w:t xml:space="preserve">is presented in the best possible light to potential applicants at </w:t>
            </w:r>
            <w:r w:rsidRPr="00203617">
              <w:t>both on</w:t>
            </w:r>
            <w:r>
              <w:t>- and off-</w:t>
            </w:r>
            <w:r w:rsidRPr="00203617">
              <w:t>campus recruitment, out</w:t>
            </w:r>
            <w:r>
              <w:t>reach and admissions activities.</w:t>
            </w:r>
          </w:p>
          <w:p w14:paraId="0CD7AE7C" w14:textId="2DED7B2B" w:rsidR="00532370" w:rsidRPr="009635B3" w:rsidRDefault="00532370" w:rsidP="005B3375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>Assume overall responsibility for a</w:t>
            </w:r>
            <w:r w:rsidRPr="00203617">
              <w:t xml:space="preserve">ctivities </w:t>
            </w:r>
            <w:r>
              <w:t>related</w:t>
            </w:r>
            <w:r w:rsidRPr="00203617">
              <w:t xml:space="preserve"> to Confirmation, Adjustment and Clearing</w:t>
            </w:r>
            <w:r w:rsidR="006F7699">
              <w:t xml:space="preserve"> in the School</w:t>
            </w:r>
            <w:r>
              <w:t>.</w:t>
            </w:r>
          </w:p>
          <w:p w14:paraId="306BA16A" w14:textId="5C5120BD" w:rsidR="005B3375" w:rsidRPr="005B3375" w:rsidRDefault="005B3375" w:rsidP="005B3375">
            <w:pPr>
              <w:rPr>
                <w:i/>
                <w:szCs w:val="18"/>
              </w:rPr>
            </w:pPr>
            <w:r w:rsidRPr="005B3375">
              <w:rPr>
                <w:i/>
                <w:szCs w:val="18"/>
              </w:rPr>
              <w:t>Student and Stakeholder engagement</w:t>
            </w:r>
          </w:p>
          <w:p w14:paraId="4D1F5310" w14:textId="7A9BB2AD" w:rsidR="005B3375" w:rsidRPr="005B3375" w:rsidRDefault="005B3375" w:rsidP="005B3375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5B3375">
              <w:rPr>
                <w:szCs w:val="18"/>
              </w:rPr>
              <w:t xml:space="preserve">Ensure </w:t>
            </w:r>
            <w:r>
              <w:rPr>
                <w:szCs w:val="18"/>
              </w:rPr>
              <w:t xml:space="preserve">that </w:t>
            </w:r>
            <w:r w:rsidRPr="005B3375">
              <w:rPr>
                <w:szCs w:val="18"/>
              </w:rPr>
              <w:t xml:space="preserve">systems are in place across the school that promote </w:t>
            </w:r>
            <w:r>
              <w:rPr>
                <w:szCs w:val="18"/>
              </w:rPr>
              <w:t xml:space="preserve">receptiveness to the ‘student voice’ (e.g. through </w:t>
            </w:r>
            <w:r w:rsidRPr="005B3375">
              <w:rPr>
                <w:szCs w:val="18"/>
              </w:rPr>
              <w:t>staff student liaison</w:t>
            </w:r>
            <w:r>
              <w:rPr>
                <w:szCs w:val="18"/>
              </w:rPr>
              <w:t>)</w:t>
            </w:r>
            <w:r w:rsidRPr="005B3375">
              <w:rPr>
                <w:szCs w:val="18"/>
              </w:rPr>
              <w:t xml:space="preserve"> and </w:t>
            </w:r>
            <w:r w:rsidR="009977EC">
              <w:rPr>
                <w:szCs w:val="18"/>
              </w:rPr>
              <w:t>ensure that</w:t>
            </w:r>
            <w:r w:rsidR="009977EC" w:rsidRPr="005B3375">
              <w:rPr>
                <w:szCs w:val="18"/>
              </w:rPr>
              <w:t xml:space="preserve"> </w:t>
            </w:r>
            <w:r w:rsidRPr="005B3375">
              <w:rPr>
                <w:szCs w:val="18"/>
              </w:rPr>
              <w:t xml:space="preserve">students </w:t>
            </w:r>
            <w:r w:rsidR="009977EC">
              <w:rPr>
                <w:szCs w:val="18"/>
              </w:rPr>
              <w:t xml:space="preserve">are enabled </w:t>
            </w:r>
            <w:r w:rsidRPr="005B3375">
              <w:rPr>
                <w:szCs w:val="18"/>
              </w:rPr>
              <w:t xml:space="preserve">to be actively involved in shaping their education experience. </w:t>
            </w:r>
          </w:p>
          <w:p w14:paraId="481FB831" w14:textId="16E5D65B" w:rsidR="0010212F" w:rsidRPr="00723930" w:rsidRDefault="005B3375" w:rsidP="00723930">
            <w:pPr>
              <w:pStyle w:val="ListParagraph"/>
              <w:numPr>
                <w:ilvl w:val="0"/>
                <w:numId w:val="23"/>
              </w:numPr>
              <w:rPr>
                <w:b/>
                <w:szCs w:val="18"/>
              </w:rPr>
            </w:pPr>
            <w:r w:rsidRPr="005B3375">
              <w:rPr>
                <w:szCs w:val="18"/>
              </w:rPr>
              <w:t xml:space="preserve">Lead and promote engagement </w:t>
            </w:r>
            <w:r>
              <w:rPr>
                <w:szCs w:val="18"/>
              </w:rPr>
              <w:t>with</w:t>
            </w:r>
            <w:r w:rsidRPr="005B3375">
              <w:rPr>
                <w:szCs w:val="18"/>
              </w:rPr>
              <w:t xml:space="preserve"> external strategic stakeholders related to the School’s education provision </w:t>
            </w:r>
            <w:r>
              <w:rPr>
                <w:szCs w:val="18"/>
              </w:rPr>
              <w:t>(</w:t>
            </w:r>
            <w:r w:rsidRPr="005B3375">
              <w:rPr>
                <w:szCs w:val="18"/>
              </w:rPr>
              <w:t>e.g. relevant PSRBs and Industry</w:t>
            </w:r>
            <w:r>
              <w:rPr>
                <w:szCs w:val="18"/>
              </w:rPr>
              <w:t xml:space="preserve"> partners)</w:t>
            </w:r>
            <w:r w:rsidRPr="005B3375">
              <w:rPr>
                <w:szCs w:val="18"/>
              </w:rPr>
              <w:t>.</w:t>
            </w:r>
            <w:r w:rsidRPr="005B3375">
              <w:rPr>
                <w:b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43C70A05" w14:textId="4BD4B796" w:rsidR="000A100D" w:rsidRDefault="00AC1C00" w:rsidP="00DF2B3F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  <w:r w:rsidR="007F6990">
              <w:rPr>
                <w:szCs w:val="18"/>
              </w:rPr>
              <w:t>0</w:t>
            </w:r>
            <w:r w:rsidR="005C3ADA">
              <w:rPr>
                <w:szCs w:val="18"/>
              </w:rPr>
              <w:t>%</w:t>
            </w:r>
          </w:p>
        </w:tc>
      </w:tr>
      <w:tr w:rsidR="008560CE" w:rsidRPr="00293D3C" w14:paraId="6AA0A1C1" w14:textId="77777777" w:rsidTr="00723930">
        <w:tc>
          <w:tcPr>
            <w:tcW w:w="601" w:type="dxa"/>
            <w:tcBorders>
              <w:right w:val="nil"/>
            </w:tcBorders>
          </w:tcPr>
          <w:p w14:paraId="1054F90B" w14:textId="77777777" w:rsidR="008560CE" w:rsidRPr="00293D3C" w:rsidRDefault="008560CE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0388673F" w14:textId="77777777" w:rsidR="00E83AE8" w:rsidRPr="007E3F58" w:rsidRDefault="00E83AE8" w:rsidP="00E83AE8">
            <w:pPr>
              <w:rPr>
                <w:i/>
                <w:szCs w:val="18"/>
              </w:rPr>
            </w:pPr>
            <w:r w:rsidRPr="007E3F58">
              <w:rPr>
                <w:i/>
                <w:szCs w:val="18"/>
              </w:rPr>
              <w:t>Staff Development</w:t>
            </w:r>
            <w:r>
              <w:rPr>
                <w:i/>
                <w:szCs w:val="18"/>
              </w:rPr>
              <w:t xml:space="preserve"> and Performance</w:t>
            </w:r>
          </w:p>
          <w:p w14:paraId="267DD8D5" w14:textId="4365C6EB" w:rsidR="00E83AE8" w:rsidRPr="00845B96" w:rsidRDefault="00A3630A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B</w:t>
            </w:r>
            <w:r w:rsidR="008F21D0">
              <w:rPr>
                <w:szCs w:val="18"/>
              </w:rPr>
              <w:t xml:space="preserve">e involved </w:t>
            </w:r>
            <w:r>
              <w:rPr>
                <w:szCs w:val="18"/>
              </w:rPr>
              <w:t xml:space="preserve">in </w:t>
            </w:r>
            <w:r w:rsidR="008F21D0">
              <w:rPr>
                <w:szCs w:val="18"/>
              </w:rPr>
              <w:t>the appointment of Directors of Programmes, Admissions Tutors, Senior Tutors, and other student-facing education-relevant academic roles</w:t>
            </w:r>
            <w:r w:rsidR="00DE31D8">
              <w:rPr>
                <w:szCs w:val="18"/>
              </w:rPr>
              <w:t xml:space="preserve">. </w:t>
            </w:r>
            <w:r w:rsidR="008F21D0" w:rsidRPr="00845B96">
              <w:rPr>
                <w:szCs w:val="18"/>
              </w:rPr>
              <w:t xml:space="preserve"> </w:t>
            </w:r>
            <w:r w:rsidR="00E83AE8" w:rsidRPr="00845B96">
              <w:rPr>
                <w:szCs w:val="18"/>
              </w:rPr>
              <w:t>Advise on the appointment and promotion of all Balanced contract and Education-focused ERE posts in the School.</w:t>
            </w:r>
          </w:p>
          <w:p w14:paraId="44F41C66" w14:textId="77777777" w:rsidR="00E83AE8" w:rsidRPr="00845B96" w:rsidRDefault="00E83AE8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845B96">
              <w:rPr>
                <w:szCs w:val="18"/>
              </w:rPr>
              <w:lastRenderedPageBreak/>
              <w:t>In collaboration with colleagues, the Doctoral College and CHEP, foster and maintain an environment in which the development needs of staff and students involved in education in the School are met.</w:t>
            </w:r>
          </w:p>
          <w:p w14:paraId="63F257A9" w14:textId="5A355DD8" w:rsidR="00E83AE8" w:rsidRDefault="00E83AE8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A5015E">
              <w:rPr>
                <w:szCs w:val="18"/>
              </w:rPr>
              <w:t>upport the Faculty Associate Dean (Education) and the Head of School in ensuring implementa</w:t>
            </w:r>
            <w:r w:rsidR="00D04A71">
              <w:rPr>
                <w:szCs w:val="18"/>
              </w:rPr>
              <w:t xml:space="preserve">tion of a performance framework. </w:t>
            </w:r>
          </w:p>
          <w:p w14:paraId="6319C9BB" w14:textId="77777777" w:rsidR="00E83AE8" w:rsidRDefault="00E83AE8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70210A">
              <w:rPr>
                <w:szCs w:val="18"/>
              </w:rPr>
              <w:t>Support the strategy that is in place for staff engagement to ensure that staff contribute to and engage with the School, Faculty and University strategy including organizational change.</w:t>
            </w:r>
          </w:p>
          <w:p w14:paraId="6F5CF4E1" w14:textId="77777777" w:rsidR="00E83AE8" w:rsidRPr="00E923F8" w:rsidRDefault="00E83AE8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70210A">
              <w:rPr>
                <w:szCs w:val="18"/>
              </w:rPr>
              <w:t>Ensuring as a senior member of the faculty that you lead the way in delivering an exceptional Student experience.</w:t>
            </w:r>
          </w:p>
          <w:p w14:paraId="5C2B55CC" w14:textId="77777777" w:rsidR="00E83AE8" w:rsidRPr="00465F7D" w:rsidRDefault="00E83AE8" w:rsidP="00E83AE8">
            <w:pPr>
              <w:pStyle w:val="ListParagraph"/>
              <w:numPr>
                <w:ilvl w:val="0"/>
                <w:numId w:val="23"/>
              </w:numPr>
              <w:rPr>
                <w:szCs w:val="18"/>
              </w:rPr>
            </w:pPr>
            <w:r w:rsidRPr="0070210A">
              <w:rPr>
                <w:szCs w:val="18"/>
              </w:rPr>
              <w:t xml:space="preserve">Enact the ‘Southampton Behaviours’ and work with colleagues to embed them as a way of working within the </w:t>
            </w:r>
            <w:r w:rsidRPr="00465F7D">
              <w:rPr>
                <w:szCs w:val="18"/>
              </w:rPr>
              <w:t>Faculty.</w:t>
            </w:r>
          </w:p>
          <w:p w14:paraId="26E2D777" w14:textId="2E5DF727" w:rsidR="008560CE" w:rsidRPr="00296EEB" w:rsidRDefault="008560CE" w:rsidP="00E83AE8">
            <w:pPr>
              <w:pStyle w:val="ListParagraph"/>
              <w:ind w:left="360"/>
              <w:rPr>
                <w:b/>
                <w:szCs w:val="18"/>
              </w:rPr>
            </w:pPr>
          </w:p>
        </w:tc>
        <w:tc>
          <w:tcPr>
            <w:tcW w:w="1018" w:type="dxa"/>
          </w:tcPr>
          <w:p w14:paraId="6770BA1C" w14:textId="6D3FDA57" w:rsidR="008560CE" w:rsidRDefault="00AC1C00" w:rsidP="00DF2B3F">
            <w:pPr>
              <w:rPr>
                <w:szCs w:val="18"/>
              </w:rPr>
            </w:pPr>
            <w:r>
              <w:rPr>
                <w:szCs w:val="18"/>
              </w:rPr>
              <w:lastRenderedPageBreak/>
              <w:t>15</w:t>
            </w:r>
            <w:r w:rsidR="007F6990">
              <w:rPr>
                <w:szCs w:val="18"/>
              </w:rPr>
              <w:t>%</w:t>
            </w:r>
          </w:p>
        </w:tc>
      </w:tr>
      <w:tr w:rsidR="00E83AE8" w:rsidRPr="00293D3C" w14:paraId="56FF9378" w14:textId="77777777" w:rsidTr="005B39E5">
        <w:trPr>
          <w:cantSplit/>
        </w:trPr>
        <w:tc>
          <w:tcPr>
            <w:tcW w:w="601" w:type="dxa"/>
            <w:tcBorders>
              <w:right w:val="nil"/>
            </w:tcBorders>
          </w:tcPr>
          <w:p w14:paraId="28FA476B" w14:textId="77777777" w:rsidR="00E83AE8" w:rsidRPr="00293D3C" w:rsidRDefault="00E83AE8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8" w:type="dxa"/>
            <w:tcBorders>
              <w:left w:val="nil"/>
            </w:tcBorders>
          </w:tcPr>
          <w:p w14:paraId="2492A0E6" w14:textId="0F4869BB" w:rsidR="00E83AE8" w:rsidRPr="00E83AE8" w:rsidRDefault="00E83AE8" w:rsidP="00E83AE8">
            <w:pPr>
              <w:rPr>
                <w:b/>
                <w:szCs w:val="18"/>
              </w:rPr>
            </w:pPr>
            <w:r w:rsidRPr="0010212F">
              <w:rPr>
                <w:szCs w:val="18"/>
              </w:rPr>
              <w:t>Deputise for the Head of School</w:t>
            </w:r>
            <w:r>
              <w:rPr>
                <w:szCs w:val="18"/>
              </w:rPr>
              <w:t xml:space="preserve"> and Faculty Associate Dean (Education)</w:t>
            </w:r>
            <w:r w:rsidRPr="0010212F">
              <w:rPr>
                <w:szCs w:val="18"/>
              </w:rPr>
              <w:t xml:space="preserve"> as required and take on other duties that fall within the scope of the post as allocated by the Head of School following consultation with the post holder.</w:t>
            </w:r>
          </w:p>
        </w:tc>
        <w:tc>
          <w:tcPr>
            <w:tcW w:w="1018" w:type="dxa"/>
          </w:tcPr>
          <w:p w14:paraId="283366E8" w14:textId="085DA1D3" w:rsidR="00E83AE8" w:rsidRDefault="00AC1C00" w:rsidP="00DF2B3F">
            <w:pPr>
              <w:rPr>
                <w:szCs w:val="18"/>
              </w:rPr>
            </w:pPr>
            <w:r>
              <w:rPr>
                <w:szCs w:val="18"/>
              </w:rPr>
              <w:t xml:space="preserve">5% </w:t>
            </w:r>
          </w:p>
        </w:tc>
      </w:tr>
    </w:tbl>
    <w:p w14:paraId="1B81E095" w14:textId="34D5664C" w:rsidR="0012209D" w:rsidRDefault="0012209D" w:rsidP="0012209D">
      <w:pPr>
        <w:rPr>
          <w:szCs w:val="18"/>
        </w:rPr>
      </w:pPr>
    </w:p>
    <w:p w14:paraId="79DD7BBE" w14:textId="77777777" w:rsidR="00A50B5C" w:rsidRPr="00293D3C" w:rsidRDefault="00A50B5C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93D3C" w14:paraId="47208162" w14:textId="77777777" w:rsidTr="00E4329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091741E" w14:textId="77777777" w:rsidR="0012209D" w:rsidRPr="00293D3C" w:rsidRDefault="0012209D" w:rsidP="00D3349E">
            <w:pPr>
              <w:rPr>
                <w:szCs w:val="18"/>
              </w:rPr>
            </w:pPr>
            <w:r w:rsidRPr="00293D3C">
              <w:rPr>
                <w:szCs w:val="18"/>
              </w:rPr>
              <w:t>Inter</w:t>
            </w:r>
            <w:r w:rsidR="00D3349E" w:rsidRPr="00293D3C">
              <w:rPr>
                <w:szCs w:val="18"/>
              </w:rPr>
              <w:t>nal and external relationships</w:t>
            </w:r>
          </w:p>
        </w:tc>
      </w:tr>
      <w:tr w:rsidR="0012209D" w:rsidRPr="00293D3C" w14:paraId="6125FA6F" w14:textId="77777777" w:rsidTr="00E43297">
        <w:trPr>
          <w:trHeight w:val="1134"/>
        </w:trPr>
        <w:tc>
          <w:tcPr>
            <w:tcW w:w="10137" w:type="dxa"/>
          </w:tcPr>
          <w:p w14:paraId="45106850" w14:textId="1B04268F" w:rsidR="00DF2B3F" w:rsidRDefault="00296EEB" w:rsidP="00DF2B3F">
            <w:pPr>
              <w:rPr>
                <w:szCs w:val="18"/>
              </w:rPr>
            </w:pPr>
            <w:r>
              <w:rPr>
                <w:szCs w:val="18"/>
              </w:rPr>
              <w:t xml:space="preserve">Head of School, Faculty Associate </w:t>
            </w:r>
            <w:r w:rsidR="00DF2B3F">
              <w:rPr>
                <w:szCs w:val="18"/>
              </w:rPr>
              <w:t xml:space="preserve">Dean </w:t>
            </w:r>
            <w:r>
              <w:rPr>
                <w:szCs w:val="18"/>
              </w:rPr>
              <w:t xml:space="preserve">(Education), </w:t>
            </w:r>
            <w:r w:rsidR="009E731E">
              <w:rPr>
                <w:szCs w:val="18"/>
              </w:rPr>
              <w:t xml:space="preserve">Dean of Faculty, </w:t>
            </w:r>
            <w:r w:rsidR="00DF2B3F">
              <w:rPr>
                <w:szCs w:val="18"/>
              </w:rPr>
              <w:t>Vice-President (</w:t>
            </w:r>
            <w:r w:rsidR="00DC50CD">
              <w:rPr>
                <w:szCs w:val="18"/>
              </w:rPr>
              <w:t>Education</w:t>
            </w:r>
            <w:r w:rsidR="00DF2B3F">
              <w:rPr>
                <w:szCs w:val="18"/>
              </w:rPr>
              <w:t>).</w:t>
            </w:r>
          </w:p>
          <w:p w14:paraId="217EAB7E" w14:textId="200FC0B0" w:rsidR="00DF2B3F" w:rsidRPr="00296EEB" w:rsidRDefault="009E731E" w:rsidP="00DF2B3F">
            <w:pPr>
              <w:rPr>
                <w:szCs w:val="18"/>
              </w:rPr>
            </w:pPr>
            <w:r>
              <w:rPr>
                <w:szCs w:val="18"/>
              </w:rPr>
              <w:t>O</w:t>
            </w:r>
            <w:r w:rsidR="00DF2B3F" w:rsidRPr="00296EEB">
              <w:rPr>
                <w:szCs w:val="18"/>
              </w:rPr>
              <w:t xml:space="preserve">ther </w:t>
            </w:r>
            <w:r w:rsidR="001F0162">
              <w:rPr>
                <w:szCs w:val="18"/>
              </w:rPr>
              <w:t>School Education Leads</w:t>
            </w:r>
            <w:r w:rsidR="00DF2B3F" w:rsidRPr="00296EEB">
              <w:rPr>
                <w:szCs w:val="18"/>
              </w:rPr>
              <w:t xml:space="preserve"> and Officers of the University (Heads of Schools</w:t>
            </w:r>
            <w:r w:rsidR="00E63114" w:rsidRPr="00296EEB">
              <w:rPr>
                <w:szCs w:val="18"/>
              </w:rPr>
              <w:t>/Heads of Departments</w:t>
            </w:r>
            <w:r w:rsidR="00DF2B3F" w:rsidRPr="00296EEB">
              <w:rPr>
                <w:szCs w:val="18"/>
              </w:rPr>
              <w:t xml:space="preserve"> </w:t>
            </w:r>
            <w:r w:rsidR="00DF2B3F" w:rsidRPr="00296EEB">
              <w:rPr>
                <w:i/>
                <w:szCs w:val="18"/>
              </w:rPr>
              <w:t>etc.).</w:t>
            </w:r>
          </w:p>
          <w:p w14:paraId="1385BFDE" w14:textId="6EAC91A9" w:rsidR="00DF2B3F" w:rsidRPr="00296EEB" w:rsidRDefault="002401FA" w:rsidP="00DF2B3F">
            <w:pPr>
              <w:rPr>
                <w:szCs w:val="18"/>
              </w:rPr>
            </w:pPr>
            <w:r w:rsidRPr="00296EEB">
              <w:t>Faculty Academic Registrar</w:t>
            </w:r>
            <w:r w:rsidRPr="00296EEB">
              <w:rPr>
                <w:szCs w:val="18"/>
              </w:rPr>
              <w:t xml:space="preserve">s, </w:t>
            </w:r>
            <w:r w:rsidR="009E731E">
              <w:rPr>
                <w:szCs w:val="18"/>
              </w:rPr>
              <w:t>Faculty Managers,</w:t>
            </w:r>
            <w:r w:rsidR="00DF2B3F" w:rsidRPr="00296EEB">
              <w:rPr>
                <w:szCs w:val="18"/>
              </w:rPr>
              <w:t xml:space="preserve"> </w:t>
            </w:r>
            <w:r w:rsidR="009E731E">
              <w:rPr>
                <w:szCs w:val="18"/>
              </w:rPr>
              <w:t>Faculty Operating Service staff,</w:t>
            </w:r>
            <w:r w:rsidR="00DF2B3F" w:rsidRPr="00296EEB">
              <w:rPr>
                <w:szCs w:val="18"/>
              </w:rPr>
              <w:t xml:space="preserve"> Head of Faculty Finance.</w:t>
            </w:r>
          </w:p>
          <w:p w14:paraId="0D1E58E1" w14:textId="77777777" w:rsidR="00DF2B3F" w:rsidRPr="00296EEB" w:rsidRDefault="00DF2B3F" w:rsidP="00DF2B3F">
            <w:pPr>
              <w:rPr>
                <w:szCs w:val="18"/>
              </w:rPr>
            </w:pPr>
            <w:r w:rsidRPr="00296EEB">
              <w:rPr>
                <w:szCs w:val="18"/>
              </w:rPr>
              <w:t>Chief Operating Officer, Executive Directors and Directors of relevant Professional Services.</w:t>
            </w:r>
          </w:p>
          <w:p w14:paraId="6044702D" w14:textId="77777777" w:rsidR="004E7077" w:rsidRPr="00296EEB" w:rsidRDefault="004E7077" w:rsidP="00DF2B3F">
            <w:pPr>
              <w:rPr>
                <w:szCs w:val="18"/>
              </w:rPr>
            </w:pPr>
            <w:r w:rsidRPr="00296EEB">
              <w:rPr>
                <w:szCs w:val="18"/>
              </w:rPr>
              <w:t>Director of the Centre for Higher Education Practice</w:t>
            </w:r>
          </w:p>
          <w:p w14:paraId="39ED56C1" w14:textId="31F5A49D" w:rsidR="009E1899" w:rsidRPr="00293D3C" w:rsidRDefault="00AF1DD6" w:rsidP="00AF1DD6">
            <w:pPr>
              <w:rPr>
                <w:szCs w:val="18"/>
              </w:rPr>
            </w:pPr>
            <w:r w:rsidRPr="00296EEB">
              <w:rPr>
                <w:szCs w:val="18"/>
              </w:rPr>
              <w:t xml:space="preserve">Local, national and international public and private sector regulatory bodies and public organisations. </w:t>
            </w:r>
          </w:p>
        </w:tc>
      </w:tr>
    </w:tbl>
    <w:p w14:paraId="090569BE" w14:textId="77777777" w:rsidR="0012209D" w:rsidRDefault="0012209D" w:rsidP="0012209D"/>
    <w:p w14:paraId="0144B2E4" w14:textId="77777777" w:rsidR="00723930" w:rsidRDefault="00723930" w:rsidP="00723930">
      <w:pPr>
        <w:overflowPunct/>
        <w:autoSpaceDE/>
        <w:autoSpaceDN/>
        <w:adjustRightInd/>
        <w:spacing w:before="0" w:after="0"/>
        <w:textAlignment w:val="auto"/>
      </w:pPr>
    </w:p>
    <w:p w14:paraId="4AA9DD0A" w14:textId="04887031" w:rsidR="00013C10" w:rsidRPr="00013C10" w:rsidRDefault="00013C10" w:rsidP="00723930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71919CC6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4478"/>
        <w:gridCol w:w="2219"/>
        <w:gridCol w:w="1317"/>
      </w:tblGrid>
      <w:tr w:rsidR="00013C10" w14:paraId="12416895" w14:textId="77777777" w:rsidTr="00723930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7A385774" w14:textId="77777777" w:rsidR="00013C10" w:rsidRPr="00013C10" w:rsidRDefault="00013C10" w:rsidP="00E4329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78" w:type="dxa"/>
            <w:shd w:val="clear" w:color="auto" w:fill="D9D9D9" w:themeFill="background1" w:themeFillShade="D9"/>
            <w:vAlign w:val="center"/>
          </w:tcPr>
          <w:p w14:paraId="5E800356" w14:textId="77777777" w:rsidR="00013C10" w:rsidRPr="00013C10" w:rsidRDefault="00013C10" w:rsidP="00E4329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700CE05E" w14:textId="77777777" w:rsidR="00013C10" w:rsidRPr="00013C10" w:rsidRDefault="00013C10" w:rsidP="00E4329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39086618" w14:textId="77777777" w:rsidR="00013C10" w:rsidRPr="00013C10" w:rsidRDefault="00013C10" w:rsidP="00E4329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C33926" w14:paraId="57BF0700" w14:textId="77777777" w:rsidTr="00723930">
        <w:tc>
          <w:tcPr>
            <w:tcW w:w="1613" w:type="dxa"/>
          </w:tcPr>
          <w:p w14:paraId="7255E901" w14:textId="77777777" w:rsidR="00C33926" w:rsidRPr="005E4344" w:rsidRDefault="00C33926" w:rsidP="00E43297">
            <w:pPr>
              <w:rPr>
                <w:szCs w:val="18"/>
              </w:rPr>
            </w:pPr>
            <w:r w:rsidRPr="005E4344">
              <w:rPr>
                <w:szCs w:val="18"/>
              </w:rPr>
              <w:t>Qualifications, knowledge and experience</w:t>
            </w:r>
          </w:p>
        </w:tc>
        <w:tc>
          <w:tcPr>
            <w:tcW w:w="4478" w:type="dxa"/>
          </w:tcPr>
          <w:p w14:paraId="64D8B323" w14:textId="77777777" w:rsidR="00C33926" w:rsidRPr="005E4344" w:rsidRDefault="00C33926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 xml:space="preserve">PhD or equivalent professional qualifications and experience in </w:t>
            </w:r>
            <w:r w:rsidR="004A79B5" w:rsidRPr="005E4344">
              <w:rPr>
                <w:szCs w:val="18"/>
              </w:rPr>
              <w:t>a subject area relevant to the Faculty</w:t>
            </w:r>
          </w:p>
          <w:p w14:paraId="685D3595" w14:textId="0B8553B8" w:rsidR="005E4344" w:rsidRDefault="00C33926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 xml:space="preserve">Well-established </w:t>
            </w:r>
            <w:r w:rsidR="00710A92">
              <w:rPr>
                <w:szCs w:val="18"/>
              </w:rPr>
              <w:t xml:space="preserve">national </w:t>
            </w:r>
            <w:r w:rsidRPr="005E4344">
              <w:rPr>
                <w:szCs w:val="18"/>
              </w:rPr>
              <w:t xml:space="preserve">reputation in </w:t>
            </w:r>
            <w:r w:rsidR="004A79B5" w:rsidRPr="005E4344">
              <w:rPr>
                <w:szCs w:val="18"/>
              </w:rPr>
              <w:t xml:space="preserve">a subject area relevant to the </w:t>
            </w:r>
            <w:r w:rsidR="00296EEB">
              <w:rPr>
                <w:szCs w:val="18"/>
              </w:rPr>
              <w:t>School</w:t>
            </w:r>
          </w:p>
          <w:p w14:paraId="1453E4FD" w14:textId="5B0AE956" w:rsidR="004A79B5" w:rsidRPr="005E4344" w:rsidRDefault="00C33926" w:rsidP="004A79B5">
            <w:pPr>
              <w:rPr>
                <w:szCs w:val="18"/>
              </w:rPr>
            </w:pPr>
            <w:r w:rsidRPr="005E4344">
              <w:rPr>
                <w:szCs w:val="18"/>
              </w:rPr>
              <w:t xml:space="preserve">Significant track record of </w:t>
            </w:r>
            <w:r w:rsidR="00DC50CD">
              <w:rPr>
                <w:szCs w:val="18"/>
              </w:rPr>
              <w:t>education</w:t>
            </w:r>
            <w:r w:rsidR="00DC50CD" w:rsidRPr="005E4344">
              <w:rPr>
                <w:szCs w:val="18"/>
              </w:rPr>
              <w:t xml:space="preserve"> </w:t>
            </w:r>
            <w:r w:rsidR="004A79B5" w:rsidRPr="005E4344">
              <w:rPr>
                <w:szCs w:val="18"/>
              </w:rPr>
              <w:t xml:space="preserve">leadership </w:t>
            </w:r>
            <w:r w:rsidRPr="005E4344">
              <w:rPr>
                <w:szCs w:val="18"/>
              </w:rPr>
              <w:t xml:space="preserve">within </w:t>
            </w:r>
            <w:r w:rsidR="004E7077" w:rsidRPr="005E4344">
              <w:rPr>
                <w:szCs w:val="18"/>
              </w:rPr>
              <w:t xml:space="preserve">a </w:t>
            </w:r>
            <w:r w:rsidR="00C16DFC" w:rsidRPr="005E4344">
              <w:rPr>
                <w:szCs w:val="18"/>
              </w:rPr>
              <w:t xml:space="preserve">subject </w:t>
            </w:r>
            <w:r w:rsidRPr="005E4344">
              <w:rPr>
                <w:szCs w:val="18"/>
              </w:rPr>
              <w:t>area</w:t>
            </w:r>
            <w:r w:rsidR="00C16DFC" w:rsidRPr="005E4344">
              <w:rPr>
                <w:szCs w:val="18"/>
              </w:rPr>
              <w:t xml:space="preserve"> relevant to the </w:t>
            </w:r>
            <w:r w:rsidR="00296EEB">
              <w:rPr>
                <w:szCs w:val="18"/>
              </w:rPr>
              <w:t>School</w:t>
            </w:r>
          </w:p>
          <w:p w14:paraId="51605BF4" w14:textId="6742F6EF" w:rsidR="00DC50CD" w:rsidRPr="005E4344" w:rsidRDefault="004A79B5" w:rsidP="004A79B5">
            <w:pPr>
              <w:rPr>
                <w:szCs w:val="18"/>
              </w:rPr>
            </w:pPr>
            <w:r w:rsidRPr="005E4344">
              <w:rPr>
                <w:szCs w:val="18"/>
              </w:rPr>
              <w:t>Knowledge and awareness of sector strategies and developments</w:t>
            </w:r>
            <w:r w:rsidR="00083E47">
              <w:rPr>
                <w:szCs w:val="18"/>
              </w:rPr>
              <w:t>, of government policy,</w:t>
            </w:r>
            <w:r w:rsidRPr="005E4344">
              <w:rPr>
                <w:szCs w:val="18"/>
              </w:rPr>
              <w:t xml:space="preserve"> and the strategies of the funding</w:t>
            </w:r>
            <w:r w:rsidR="00DC50CD">
              <w:rPr>
                <w:szCs w:val="18"/>
              </w:rPr>
              <w:t xml:space="preserve"> / regulatory</w:t>
            </w:r>
            <w:r w:rsidRPr="005E4344">
              <w:rPr>
                <w:szCs w:val="18"/>
              </w:rPr>
              <w:t xml:space="preserve"> bodies </w:t>
            </w:r>
          </w:p>
          <w:p w14:paraId="04B909B4" w14:textId="78B48F81" w:rsidR="004A79B5" w:rsidRPr="005E4344" w:rsidRDefault="004A79B5" w:rsidP="00DC50CD">
            <w:pPr>
              <w:overflowPunct/>
              <w:textAlignment w:val="auto"/>
              <w:rPr>
                <w:rFonts w:cs="Arial"/>
                <w:szCs w:val="18"/>
              </w:rPr>
            </w:pPr>
            <w:r w:rsidRPr="005E4344">
              <w:rPr>
                <w:rFonts w:cs="Arial"/>
                <w:szCs w:val="18"/>
              </w:rPr>
              <w:t xml:space="preserve">Evidence of a track record of providing strategic and visionary direction in the development of </w:t>
            </w:r>
            <w:r w:rsidR="00DC50CD">
              <w:rPr>
                <w:rFonts w:cs="Arial"/>
                <w:szCs w:val="18"/>
              </w:rPr>
              <w:t>education</w:t>
            </w:r>
          </w:p>
        </w:tc>
        <w:tc>
          <w:tcPr>
            <w:tcW w:w="2219" w:type="dxa"/>
          </w:tcPr>
          <w:p w14:paraId="65EF8D97" w14:textId="77777777" w:rsidR="00C33926" w:rsidRPr="005E4344" w:rsidRDefault="00C33926" w:rsidP="00083E47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3217D7D0" w14:textId="77777777" w:rsidR="00C33926" w:rsidRDefault="00C33926" w:rsidP="0012209D"/>
        </w:tc>
      </w:tr>
      <w:tr w:rsidR="00C33926" w14:paraId="631FD7D5" w14:textId="77777777" w:rsidTr="00723930">
        <w:tc>
          <w:tcPr>
            <w:tcW w:w="1613" w:type="dxa"/>
          </w:tcPr>
          <w:p w14:paraId="567C6CEE" w14:textId="77777777" w:rsidR="00C33926" w:rsidRPr="005E4344" w:rsidRDefault="00C33926" w:rsidP="00E43297">
            <w:pPr>
              <w:rPr>
                <w:szCs w:val="18"/>
              </w:rPr>
            </w:pPr>
            <w:r w:rsidRPr="005E4344">
              <w:rPr>
                <w:szCs w:val="18"/>
              </w:rPr>
              <w:t>Planning and organising</w:t>
            </w:r>
          </w:p>
        </w:tc>
        <w:tc>
          <w:tcPr>
            <w:tcW w:w="4478" w:type="dxa"/>
          </w:tcPr>
          <w:p w14:paraId="091020E1" w14:textId="2AE5347D" w:rsidR="00C33926" w:rsidRPr="005E4344" w:rsidRDefault="00C33926" w:rsidP="003E5C3D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 xml:space="preserve">Proven ability to plan and shape the direction of an area of </w:t>
            </w:r>
            <w:r w:rsidR="00A05A22">
              <w:rPr>
                <w:szCs w:val="18"/>
              </w:rPr>
              <w:t xml:space="preserve">educational </w:t>
            </w:r>
            <w:r w:rsidRPr="005E4344">
              <w:rPr>
                <w:szCs w:val="18"/>
              </w:rPr>
              <w:t xml:space="preserve">activity with substantial impact </w:t>
            </w:r>
            <w:r w:rsidR="004015AF">
              <w:rPr>
                <w:szCs w:val="18"/>
              </w:rPr>
              <w:t>on recruitment</w:t>
            </w:r>
            <w:r w:rsidR="00C30199">
              <w:rPr>
                <w:szCs w:val="18"/>
              </w:rPr>
              <w:t xml:space="preserve"> and/or</w:t>
            </w:r>
            <w:r w:rsidR="004015AF">
              <w:rPr>
                <w:szCs w:val="18"/>
              </w:rPr>
              <w:t xml:space="preserve"> quality and</w:t>
            </w:r>
            <w:r w:rsidR="00C30199">
              <w:rPr>
                <w:szCs w:val="18"/>
              </w:rPr>
              <w:t>/or</w:t>
            </w:r>
            <w:r w:rsidR="004015AF">
              <w:rPr>
                <w:szCs w:val="18"/>
              </w:rPr>
              <w:t xml:space="preserve"> student progression and outcomes</w:t>
            </w:r>
          </w:p>
        </w:tc>
        <w:tc>
          <w:tcPr>
            <w:tcW w:w="2219" w:type="dxa"/>
          </w:tcPr>
          <w:p w14:paraId="4ACA01C6" w14:textId="7777777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42B2DEF3" w14:textId="77777777" w:rsidR="00C33926" w:rsidRDefault="00C33926" w:rsidP="0012209D"/>
        </w:tc>
      </w:tr>
      <w:tr w:rsidR="00C33926" w14:paraId="4EC1F5AE" w14:textId="77777777" w:rsidTr="00723930">
        <w:tc>
          <w:tcPr>
            <w:tcW w:w="1613" w:type="dxa"/>
          </w:tcPr>
          <w:p w14:paraId="57A7F220" w14:textId="77777777" w:rsidR="00C33926" w:rsidRPr="005E4344" w:rsidRDefault="00C33926" w:rsidP="00E43297">
            <w:pPr>
              <w:rPr>
                <w:szCs w:val="18"/>
              </w:rPr>
            </w:pPr>
            <w:r w:rsidRPr="005E4344">
              <w:rPr>
                <w:szCs w:val="18"/>
              </w:rPr>
              <w:t>Problem solving and initiative</w:t>
            </w:r>
          </w:p>
        </w:tc>
        <w:tc>
          <w:tcPr>
            <w:tcW w:w="4478" w:type="dxa"/>
          </w:tcPr>
          <w:p w14:paraId="6100971B" w14:textId="3445D398" w:rsidR="00C33926" w:rsidRPr="005E4344" w:rsidRDefault="005E4344" w:rsidP="0012209D">
            <w:pPr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="00C33926" w:rsidRPr="005E4344">
              <w:rPr>
                <w:szCs w:val="18"/>
              </w:rPr>
              <w:t xml:space="preserve"> to </w:t>
            </w:r>
            <w:r w:rsidR="000546E8">
              <w:rPr>
                <w:szCs w:val="18"/>
              </w:rPr>
              <w:t xml:space="preserve">respond and </w:t>
            </w:r>
            <w:r w:rsidR="00710A92">
              <w:rPr>
                <w:szCs w:val="18"/>
              </w:rPr>
              <w:t xml:space="preserve">adapt with agility to </w:t>
            </w:r>
            <w:r w:rsidR="000546E8">
              <w:rPr>
                <w:szCs w:val="18"/>
              </w:rPr>
              <w:t>often rapidly-moving events and</w:t>
            </w:r>
            <w:r w:rsidR="00710A92">
              <w:rPr>
                <w:szCs w:val="18"/>
              </w:rPr>
              <w:t xml:space="preserve"> </w:t>
            </w:r>
            <w:r w:rsidR="000546E8">
              <w:rPr>
                <w:szCs w:val="18"/>
              </w:rPr>
              <w:t>developments in both the internal and external contexts</w:t>
            </w:r>
          </w:p>
        </w:tc>
        <w:tc>
          <w:tcPr>
            <w:tcW w:w="2219" w:type="dxa"/>
          </w:tcPr>
          <w:p w14:paraId="6EB1CCB5" w14:textId="7777777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36073D28" w14:textId="77777777" w:rsidR="00C33926" w:rsidRDefault="00C33926" w:rsidP="0012209D"/>
        </w:tc>
      </w:tr>
      <w:tr w:rsidR="00C33926" w14:paraId="625EF4FA" w14:textId="77777777" w:rsidTr="00723930">
        <w:tc>
          <w:tcPr>
            <w:tcW w:w="1613" w:type="dxa"/>
          </w:tcPr>
          <w:p w14:paraId="01FAFF5D" w14:textId="3DBE7CF8" w:rsidR="00C33926" w:rsidRPr="005E4344" w:rsidRDefault="00C33926" w:rsidP="00E804B0">
            <w:pPr>
              <w:rPr>
                <w:szCs w:val="18"/>
              </w:rPr>
            </w:pPr>
            <w:r w:rsidRPr="005E4344">
              <w:rPr>
                <w:szCs w:val="18"/>
              </w:rPr>
              <w:lastRenderedPageBreak/>
              <w:t>Management and teamwork</w:t>
            </w:r>
          </w:p>
        </w:tc>
        <w:tc>
          <w:tcPr>
            <w:tcW w:w="4478" w:type="dxa"/>
          </w:tcPr>
          <w:p w14:paraId="15233C86" w14:textId="4CA67EDA" w:rsidR="004A79B5" w:rsidRPr="005E4344" w:rsidRDefault="005E4344" w:rsidP="004A79B5">
            <w:pPr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="004A79B5" w:rsidRPr="005E4344">
              <w:rPr>
                <w:szCs w:val="18"/>
              </w:rPr>
              <w:t xml:space="preserve"> to work across the multiple disciplines within the </w:t>
            </w:r>
            <w:r w:rsidR="00296EEB">
              <w:rPr>
                <w:szCs w:val="18"/>
              </w:rPr>
              <w:t xml:space="preserve">School and </w:t>
            </w:r>
            <w:r w:rsidR="004A79B5" w:rsidRPr="005E4344">
              <w:rPr>
                <w:szCs w:val="18"/>
              </w:rPr>
              <w:t>Faculty</w:t>
            </w:r>
          </w:p>
          <w:p w14:paraId="03D59AD5" w14:textId="5B2AE660" w:rsidR="003E5C3D" w:rsidRDefault="005E4344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Pr="005E4344">
              <w:rPr>
                <w:szCs w:val="18"/>
              </w:rPr>
              <w:t xml:space="preserve"> </w:t>
            </w:r>
            <w:r w:rsidR="00C33926" w:rsidRPr="005E4344">
              <w:rPr>
                <w:szCs w:val="18"/>
              </w:rPr>
              <w:t xml:space="preserve">to foster and develop good relationships between own </w:t>
            </w:r>
            <w:r w:rsidR="00296EEB">
              <w:rPr>
                <w:szCs w:val="18"/>
              </w:rPr>
              <w:t>School</w:t>
            </w:r>
            <w:r w:rsidR="004E7077" w:rsidRPr="005E4344">
              <w:rPr>
                <w:szCs w:val="18"/>
              </w:rPr>
              <w:t xml:space="preserve"> </w:t>
            </w:r>
            <w:r w:rsidR="00C33926" w:rsidRPr="005E4344">
              <w:rPr>
                <w:szCs w:val="18"/>
              </w:rPr>
              <w:t xml:space="preserve">and the rest of the university.  </w:t>
            </w:r>
          </w:p>
          <w:p w14:paraId="34A17FB2" w14:textId="17D4DBE0" w:rsidR="00C33926" w:rsidRPr="005E4344" w:rsidRDefault="00C33926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 w:rsidR="003E5C3D">
              <w:rPr>
                <w:szCs w:val="18"/>
              </w:rPr>
              <w:t>ility</w:t>
            </w:r>
            <w:r w:rsidRPr="005E4344">
              <w:rPr>
                <w:szCs w:val="18"/>
              </w:rPr>
              <w:t xml:space="preserve"> to work proactively with senior colleagues to develop </w:t>
            </w:r>
            <w:r w:rsidR="00296EEB">
              <w:rPr>
                <w:szCs w:val="18"/>
              </w:rPr>
              <w:t xml:space="preserve">cross-School, </w:t>
            </w:r>
            <w:r w:rsidRPr="005E4344">
              <w:rPr>
                <w:szCs w:val="18"/>
              </w:rPr>
              <w:t>cross-</w:t>
            </w:r>
            <w:r w:rsidR="004E7077" w:rsidRPr="005E4344">
              <w:rPr>
                <w:szCs w:val="18"/>
              </w:rPr>
              <w:t>Faculty</w:t>
            </w:r>
            <w:r w:rsidRPr="005E4344">
              <w:rPr>
                <w:szCs w:val="18"/>
              </w:rPr>
              <w:t xml:space="preserve"> and </w:t>
            </w:r>
            <w:r w:rsidR="004E7077" w:rsidRPr="005E4344">
              <w:rPr>
                <w:szCs w:val="18"/>
              </w:rPr>
              <w:t xml:space="preserve">cross-University </w:t>
            </w:r>
            <w:r w:rsidRPr="005E4344">
              <w:rPr>
                <w:szCs w:val="18"/>
              </w:rPr>
              <w:t>cooperation and effectiveness</w:t>
            </w:r>
          </w:p>
          <w:p w14:paraId="32ACB0D9" w14:textId="14C084B5" w:rsidR="00C33926" w:rsidRPr="005E4344" w:rsidRDefault="005E4344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="00C33926" w:rsidRPr="005E4344">
              <w:rPr>
                <w:szCs w:val="18"/>
              </w:rPr>
              <w:t xml:space="preserve"> to monitor and manage resources</w:t>
            </w:r>
          </w:p>
          <w:p w14:paraId="26093EDD" w14:textId="1C168A86" w:rsidR="00DA29D6" w:rsidRPr="005E4344" w:rsidRDefault="005E4344" w:rsidP="0012209D">
            <w:pPr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="00DA29D6" w:rsidRPr="005E4344">
              <w:rPr>
                <w:szCs w:val="18"/>
              </w:rPr>
              <w:t xml:space="preserve"> to shape a positive culture of management, leadership and engagement at all levels of the </w:t>
            </w:r>
            <w:r w:rsidR="00296EEB">
              <w:rPr>
                <w:szCs w:val="18"/>
              </w:rPr>
              <w:t>School</w:t>
            </w:r>
            <w:r w:rsidR="000546E8" w:rsidRPr="005E4344">
              <w:rPr>
                <w:szCs w:val="18"/>
              </w:rPr>
              <w:t xml:space="preserve"> </w:t>
            </w:r>
            <w:r w:rsidR="00DA29D6" w:rsidRPr="005E4344">
              <w:rPr>
                <w:szCs w:val="18"/>
              </w:rPr>
              <w:t>through exceptional leadership and personal example</w:t>
            </w:r>
          </w:p>
          <w:p w14:paraId="4BBD6972" w14:textId="38AFD6BE" w:rsidR="004A79B5" w:rsidRPr="005E4344" w:rsidRDefault="005E4344" w:rsidP="004A79B5">
            <w:pPr>
              <w:rPr>
                <w:szCs w:val="18"/>
              </w:rPr>
            </w:pPr>
            <w:r w:rsidRPr="005E4344">
              <w:rPr>
                <w:szCs w:val="18"/>
              </w:rPr>
              <w:t>Ability</w:t>
            </w:r>
            <w:r w:rsidR="004A79B5" w:rsidRPr="005E4344">
              <w:rPr>
                <w:szCs w:val="18"/>
              </w:rPr>
              <w:t xml:space="preserve"> to </w:t>
            </w:r>
            <w:r w:rsidR="000546E8">
              <w:rPr>
                <w:szCs w:val="18"/>
              </w:rPr>
              <w:t xml:space="preserve">contribute to </w:t>
            </w:r>
            <w:r w:rsidR="004A79B5" w:rsidRPr="005E4344">
              <w:rPr>
                <w:szCs w:val="18"/>
              </w:rPr>
              <w:t>build</w:t>
            </w:r>
            <w:r w:rsidR="000546E8">
              <w:rPr>
                <w:szCs w:val="18"/>
              </w:rPr>
              <w:t>ing</w:t>
            </w:r>
            <w:r w:rsidR="004A79B5" w:rsidRPr="005E4344">
              <w:rPr>
                <w:szCs w:val="18"/>
              </w:rPr>
              <w:t>, support</w:t>
            </w:r>
            <w:r w:rsidR="000546E8">
              <w:rPr>
                <w:szCs w:val="18"/>
              </w:rPr>
              <w:t>ing</w:t>
            </w:r>
            <w:r w:rsidR="004A79B5" w:rsidRPr="005E4344">
              <w:rPr>
                <w:szCs w:val="18"/>
              </w:rPr>
              <w:t xml:space="preserve"> and maintain</w:t>
            </w:r>
            <w:r w:rsidR="000546E8">
              <w:rPr>
                <w:szCs w:val="18"/>
              </w:rPr>
              <w:t>ing</w:t>
            </w:r>
            <w:r w:rsidR="004A79B5" w:rsidRPr="005E4344">
              <w:rPr>
                <w:szCs w:val="18"/>
              </w:rPr>
              <w:t xml:space="preserve"> a high performing </w:t>
            </w:r>
            <w:r w:rsidR="009C6433">
              <w:rPr>
                <w:szCs w:val="18"/>
              </w:rPr>
              <w:t xml:space="preserve">inclusive </w:t>
            </w:r>
            <w:r w:rsidR="004A79B5" w:rsidRPr="005E4344">
              <w:rPr>
                <w:szCs w:val="18"/>
              </w:rPr>
              <w:t xml:space="preserve">management team and to support a structured </w:t>
            </w:r>
            <w:r>
              <w:rPr>
                <w:szCs w:val="18"/>
              </w:rPr>
              <w:t>approach to strategic planning.</w:t>
            </w:r>
          </w:p>
          <w:p w14:paraId="3C8306FE" w14:textId="77777777" w:rsidR="004A79B5" w:rsidRPr="005E4344" w:rsidRDefault="004A79B5" w:rsidP="004A79B5">
            <w:pPr>
              <w:rPr>
                <w:szCs w:val="18"/>
              </w:rPr>
            </w:pPr>
            <w:r w:rsidRPr="005E4344">
              <w:rPr>
                <w:szCs w:val="18"/>
              </w:rPr>
              <w:t xml:space="preserve">A proven track record of achieving performance targets and supporting others to </w:t>
            </w:r>
            <w:r w:rsidR="005E4344">
              <w:rPr>
                <w:szCs w:val="18"/>
              </w:rPr>
              <w:t>meet their performance targets.</w:t>
            </w:r>
          </w:p>
        </w:tc>
        <w:tc>
          <w:tcPr>
            <w:tcW w:w="2219" w:type="dxa"/>
          </w:tcPr>
          <w:p w14:paraId="09B00A2E" w14:textId="15F02F2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41833A43" w14:textId="77777777" w:rsidR="00C33926" w:rsidRDefault="00C33926" w:rsidP="0012209D"/>
        </w:tc>
      </w:tr>
      <w:tr w:rsidR="00C33926" w14:paraId="0B5EDE0E" w14:textId="77777777" w:rsidTr="00723930">
        <w:tc>
          <w:tcPr>
            <w:tcW w:w="1613" w:type="dxa"/>
          </w:tcPr>
          <w:p w14:paraId="6FE91673" w14:textId="77777777" w:rsidR="00C33926" w:rsidRPr="005E4344" w:rsidRDefault="00C33926" w:rsidP="00E43297">
            <w:pPr>
              <w:rPr>
                <w:szCs w:val="18"/>
              </w:rPr>
            </w:pPr>
            <w:r w:rsidRPr="005E4344">
              <w:rPr>
                <w:szCs w:val="18"/>
              </w:rPr>
              <w:t>Communicating and influencing</w:t>
            </w:r>
          </w:p>
        </w:tc>
        <w:tc>
          <w:tcPr>
            <w:tcW w:w="4478" w:type="dxa"/>
          </w:tcPr>
          <w:p w14:paraId="5C0F2EBD" w14:textId="77777777" w:rsidR="00C33926" w:rsidRPr="005E4344" w:rsidRDefault="00C33926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Communicate new and complex information effectively, both verbally and in writing, engaging the interest and enthusiasm of the target audience</w:t>
            </w:r>
          </w:p>
          <w:p w14:paraId="679D3638" w14:textId="14E32891" w:rsidR="005E4344" w:rsidRPr="005E4344" w:rsidRDefault="005E4344" w:rsidP="005E4344">
            <w:pPr>
              <w:rPr>
                <w:szCs w:val="18"/>
              </w:rPr>
            </w:pPr>
            <w:r w:rsidRPr="005E4344">
              <w:rPr>
                <w:szCs w:val="18"/>
              </w:rPr>
              <w:t xml:space="preserve">Ability to influence, collaborate and interact effectively with a range of stakeholders including staff (at all levels), students and others. </w:t>
            </w:r>
          </w:p>
          <w:p w14:paraId="1535E0FB" w14:textId="6190672A" w:rsidR="00C33926" w:rsidRPr="005E4344" w:rsidRDefault="005E4344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>
              <w:rPr>
                <w:szCs w:val="18"/>
              </w:rPr>
              <w:t>ility</w:t>
            </w:r>
            <w:r w:rsidR="00C33926" w:rsidRPr="005E4344">
              <w:rPr>
                <w:szCs w:val="18"/>
              </w:rPr>
              <w:t xml:space="preserve"> to provide expert guidance to colleagues in own team, other work areas and </w:t>
            </w:r>
            <w:r w:rsidR="002F7E8D">
              <w:rPr>
                <w:szCs w:val="18"/>
              </w:rPr>
              <w:t xml:space="preserve">other </w:t>
            </w:r>
            <w:r w:rsidR="00C33926" w:rsidRPr="005E4344">
              <w:rPr>
                <w:szCs w:val="18"/>
              </w:rPr>
              <w:t>institutions to develop understanding and resolve complex problems</w:t>
            </w:r>
          </w:p>
          <w:p w14:paraId="045899C8" w14:textId="2996BC25" w:rsidR="004E7077" w:rsidRPr="005E4344" w:rsidRDefault="004E7077" w:rsidP="00E4329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 w:rsidR="005E4344">
              <w:rPr>
                <w:szCs w:val="18"/>
              </w:rPr>
              <w:t>ility</w:t>
            </w:r>
            <w:r w:rsidRPr="005E4344">
              <w:rPr>
                <w:szCs w:val="18"/>
              </w:rPr>
              <w:t xml:space="preserve"> to represent the </w:t>
            </w:r>
            <w:r w:rsidR="00296EEB">
              <w:rPr>
                <w:szCs w:val="18"/>
              </w:rPr>
              <w:t>School/</w:t>
            </w:r>
            <w:r w:rsidR="002F7E8D">
              <w:rPr>
                <w:szCs w:val="18"/>
              </w:rPr>
              <w:t>Faculty/</w:t>
            </w:r>
            <w:r w:rsidRPr="005E4344">
              <w:rPr>
                <w:szCs w:val="18"/>
              </w:rPr>
              <w:t xml:space="preserve">University on specific issues, as agreed with the </w:t>
            </w:r>
            <w:r w:rsidR="00296EEB">
              <w:rPr>
                <w:szCs w:val="18"/>
              </w:rPr>
              <w:t>Head of School/Dean/</w:t>
            </w:r>
            <w:r w:rsidRPr="005E4344">
              <w:rPr>
                <w:szCs w:val="18"/>
              </w:rPr>
              <w:t>VP</w:t>
            </w:r>
            <w:r w:rsidR="002F7E8D">
              <w:rPr>
                <w:szCs w:val="18"/>
              </w:rPr>
              <w:t>(E)</w:t>
            </w:r>
            <w:r w:rsidRPr="005E4344">
              <w:rPr>
                <w:szCs w:val="18"/>
              </w:rPr>
              <w:t>.</w:t>
            </w:r>
          </w:p>
          <w:p w14:paraId="4A79D1AF" w14:textId="0DE1ABAC" w:rsidR="005E4344" w:rsidRPr="005E4344" w:rsidRDefault="005E4344" w:rsidP="005E4344">
            <w:pPr>
              <w:rPr>
                <w:szCs w:val="18"/>
              </w:rPr>
            </w:pPr>
            <w:r w:rsidRPr="005E4344">
              <w:rPr>
                <w:rFonts w:cs="Arial"/>
                <w:szCs w:val="18"/>
              </w:rPr>
              <w:t xml:space="preserve">Ability to cultivate strong networks and build links with the wider community and with business, industry and other </w:t>
            </w:r>
            <w:r w:rsidR="002F7E8D">
              <w:rPr>
                <w:szCs w:val="18"/>
              </w:rPr>
              <w:t>stakeholders</w:t>
            </w:r>
            <w:r>
              <w:rPr>
                <w:szCs w:val="18"/>
              </w:rPr>
              <w:t>.</w:t>
            </w:r>
          </w:p>
          <w:p w14:paraId="1E96C2B9" w14:textId="4B103F28" w:rsidR="005E4344" w:rsidRPr="005E4344" w:rsidRDefault="005E4344" w:rsidP="009C6433">
            <w:pPr>
              <w:ind w:left="12" w:hanging="12"/>
              <w:rPr>
                <w:szCs w:val="18"/>
              </w:rPr>
            </w:pPr>
            <w:r w:rsidRPr="005E4344">
              <w:rPr>
                <w:rFonts w:cs="Arial"/>
                <w:szCs w:val="18"/>
              </w:rPr>
              <w:t xml:space="preserve">Ability to </w:t>
            </w:r>
            <w:r w:rsidR="009C6433">
              <w:rPr>
                <w:rFonts w:cs="Arial"/>
                <w:szCs w:val="18"/>
              </w:rPr>
              <w:t>achieve</w:t>
            </w:r>
            <w:r w:rsidRPr="005E4344">
              <w:rPr>
                <w:rFonts w:cs="Arial"/>
                <w:szCs w:val="18"/>
              </w:rPr>
              <w:t xml:space="preserve"> results through persuasion and negotiation where no direct authority exists.</w:t>
            </w:r>
          </w:p>
        </w:tc>
        <w:tc>
          <w:tcPr>
            <w:tcW w:w="2219" w:type="dxa"/>
          </w:tcPr>
          <w:p w14:paraId="18B8F958" w14:textId="7777777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0B42590C" w14:textId="77777777" w:rsidR="00C33926" w:rsidRDefault="00C33926" w:rsidP="0012209D"/>
        </w:tc>
      </w:tr>
      <w:tr w:rsidR="00C33926" w14:paraId="4DEDC280" w14:textId="77777777" w:rsidTr="00723930">
        <w:tc>
          <w:tcPr>
            <w:tcW w:w="1613" w:type="dxa"/>
          </w:tcPr>
          <w:p w14:paraId="51797782" w14:textId="77777777" w:rsidR="00C33926" w:rsidRPr="005E4344" w:rsidRDefault="00C33926" w:rsidP="00E804B0">
            <w:pPr>
              <w:rPr>
                <w:szCs w:val="18"/>
              </w:rPr>
            </w:pPr>
            <w:r w:rsidRPr="005E4344">
              <w:rPr>
                <w:szCs w:val="18"/>
              </w:rPr>
              <w:t>Other skills and behaviours</w:t>
            </w:r>
          </w:p>
        </w:tc>
        <w:tc>
          <w:tcPr>
            <w:tcW w:w="4478" w:type="dxa"/>
          </w:tcPr>
          <w:p w14:paraId="701C81AC" w14:textId="63D28F9E" w:rsidR="00874F87" w:rsidRPr="005E4344" w:rsidRDefault="00C33926" w:rsidP="00874F87">
            <w:pPr>
              <w:spacing w:after="90"/>
              <w:rPr>
                <w:szCs w:val="18"/>
              </w:rPr>
            </w:pPr>
            <w:r w:rsidRPr="005E4344">
              <w:rPr>
                <w:szCs w:val="18"/>
              </w:rPr>
              <w:t>Compliance with relevant Health &amp; Safety issues</w:t>
            </w:r>
            <w:r w:rsidR="00874F87">
              <w:rPr>
                <w:szCs w:val="18"/>
              </w:rPr>
              <w:t xml:space="preserve">; ability to contribute to ensuring that these are aligned with education activities; ability to contribute to ensuring that the Faculty </w:t>
            </w:r>
            <w:r w:rsidR="00874F87">
              <w:t>has a process for appropriate risk assessment in relation to education and student activity.</w:t>
            </w:r>
          </w:p>
          <w:p w14:paraId="2F5B1CB9" w14:textId="77777777" w:rsidR="00C33926" w:rsidRPr="005E4344" w:rsidRDefault="00C33926" w:rsidP="0012209D">
            <w:pPr>
              <w:rPr>
                <w:szCs w:val="18"/>
              </w:rPr>
            </w:pPr>
            <w:r w:rsidRPr="005E4344">
              <w:rPr>
                <w:szCs w:val="18"/>
              </w:rPr>
              <w:t>Positive attitude to colleagues and students</w:t>
            </w:r>
          </w:p>
          <w:p w14:paraId="5569A5CB" w14:textId="1C8C6EED" w:rsidR="00DA29D6" w:rsidRPr="005E4344" w:rsidRDefault="00DA29D6" w:rsidP="00B241CF">
            <w:pPr>
              <w:rPr>
                <w:szCs w:val="18"/>
              </w:rPr>
            </w:pPr>
            <w:r w:rsidRPr="005E4344">
              <w:rPr>
                <w:szCs w:val="18"/>
              </w:rPr>
              <w:t>Ab</w:t>
            </w:r>
            <w:r w:rsidR="005E4344">
              <w:rPr>
                <w:szCs w:val="18"/>
              </w:rPr>
              <w:t>ility</w:t>
            </w:r>
            <w:r w:rsidRPr="005E4344">
              <w:rPr>
                <w:szCs w:val="18"/>
              </w:rPr>
              <w:t xml:space="preserve"> to alig</w:t>
            </w:r>
            <w:r w:rsidR="00B241CF">
              <w:rPr>
                <w:szCs w:val="18"/>
              </w:rPr>
              <w:t>n</w:t>
            </w:r>
            <w:r w:rsidRPr="005E4344">
              <w:rPr>
                <w:szCs w:val="18"/>
              </w:rPr>
              <w:t xml:space="preserve"> with the University’s core values in all areas of work, and champion those behaviours in the </w:t>
            </w:r>
            <w:r w:rsidR="002F7E8D">
              <w:rPr>
                <w:szCs w:val="18"/>
              </w:rPr>
              <w:t>Faculty.</w:t>
            </w:r>
          </w:p>
        </w:tc>
        <w:tc>
          <w:tcPr>
            <w:tcW w:w="2219" w:type="dxa"/>
          </w:tcPr>
          <w:p w14:paraId="510A4C9D" w14:textId="7777777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132A0425" w14:textId="77777777" w:rsidR="00C33926" w:rsidRDefault="00C33926" w:rsidP="0012209D"/>
        </w:tc>
      </w:tr>
      <w:tr w:rsidR="00C33926" w14:paraId="2B9F891B" w14:textId="77777777" w:rsidTr="00723930">
        <w:tc>
          <w:tcPr>
            <w:tcW w:w="1613" w:type="dxa"/>
          </w:tcPr>
          <w:p w14:paraId="354B9825" w14:textId="77777777" w:rsidR="00C33926" w:rsidRPr="005E4344" w:rsidRDefault="00C33926" w:rsidP="00E43297">
            <w:pPr>
              <w:rPr>
                <w:szCs w:val="18"/>
              </w:rPr>
            </w:pPr>
            <w:r w:rsidRPr="005E4344">
              <w:rPr>
                <w:szCs w:val="18"/>
              </w:rPr>
              <w:t>Special requirements</w:t>
            </w:r>
          </w:p>
        </w:tc>
        <w:tc>
          <w:tcPr>
            <w:tcW w:w="4478" w:type="dxa"/>
          </w:tcPr>
          <w:p w14:paraId="30188FA5" w14:textId="46AA9132" w:rsidR="00C33926" w:rsidRPr="005E4344" w:rsidRDefault="00C33926" w:rsidP="005E4344">
            <w:pPr>
              <w:rPr>
                <w:szCs w:val="18"/>
              </w:rPr>
            </w:pPr>
          </w:p>
        </w:tc>
        <w:tc>
          <w:tcPr>
            <w:tcW w:w="2219" w:type="dxa"/>
          </w:tcPr>
          <w:p w14:paraId="394B7C5E" w14:textId="77777777" w:rsidR="00C33926" w:rsidRPr="005E4344" w:rsidRDefault="00C33926" w:rsidP="0012209D">
            <w:pPr>
              <w:rPr>
                <w:szCs w:val="18"/>
              </w:rPr>
            </w:pPr>
          </w:p>
        </w:tc>
        <w:tc>
          <w:tcPr>
            <w:tcW w:w="1317" w:type="dxa"/>
          </w:tcPr>
          <w:p w14:paraId="1FEEEA4F" w14:textId="77777777" w:rsidR="00C33926" w:rsidRDefault="00C33926" w:rsidP="0012209D"/>
        </w:tc>
      </w:tr>
    </w:tbl>
    <w:p w14:paraId="225B9153" w14:textId="77777777" w:rsidR="00013C10" w:rsidRDefault="00013C10" w:rsidP="0012209D"/>
    <w:p w14:paraId="13D093A4" w14:textId="77777777" w:rsidR="00723930" w:rsidRDefault="00723930" w:rsidP="00723930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3AC482A" w14:textId="1011BEC7" w:rsidR="0012209D" w:rsidRPr="00FE0CAA" w:rsidRDefault="0012209D" w:rsidP="00723930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33595C4F" w14:textId="77777777" w:rsidR="0012209D" w:rsidRDefault="0012209D" w:rsidP="0012209D">
      <w:pPr>
        <w:rPr>
          <w:b/>
          <w:bCs/>
        </w:rPr>
      </w:pPr>
    </w:p>
    <w:p w14:paraId="06370FA8" w14:textId="77777777" w:rsidR="00D3349E" w:rsidRDefault="00D3349E" w:rsidP="00075B8F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4A04B76B" w14:textId="77777777" w:rsidTr="00D3349E">
        <w:tc>
          <w:tcPr>
            <w:tcW w:w="908" w:type="dxa"/>
          </w:tcPr>
          <w:p w14:paraId="0960420D" w14:textId="77777777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2B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4CD2B208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EBBEBF4" w14:textId="77777777" w:rsidTr="00D3349E">
        <w:tc>
          <w:tcPr>
            <w:tcW w:w="908" w:type="dxa"/>
          </w:tcPr>
          <w:p w14:paraId="31FD6DE5" w14:textId="77777777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626DC4DA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2825D728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A57C1FD" w14:textId="77777777" w:rsidR="00D3349E" w:rsidRDefault="00D3349E" w:rsidP="00E264FD"/>
    <w:p w14:paraId="33B9D24A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7AC53061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05442D95" w14:textId="77777777" w:rsidTr="00E4329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9DDEEB9" w14:textId="77777777" w:rsidR="0012209D" w:rsidRPr="009957AE" w:rsidRDefault="0012209D" w:rsidP="00E4329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C2837" w14:textId="77777777" w:rsidR="0012209D" w:rsidRPr="009957AE" w:rsidRDefault="0012209D" w:rsidP="00E4329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D3FAD4F" w14:textId="77777777" w:rsidR="0012209D" w:rsidRPr="009957AE" w:rsidRDefault="0012209D" w:rsidP="00E4329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875AF" w14:textId="77777777" w:rsidR="0012209D" w:rsidRPr="009957AE" w:rsidRDefault="0012209D" w:rsidP="00E4329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6F78714" w14:textId="77777777" w:rsidR="0012209D" w:rsidRPr="009957AE" w:rsidRDefault="0012209D" w:rsidP="00E4329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5CF34" w14:textId="77777777" w:rsidR="0012209D" w:rsidRPr="009957AE" w:rsidRDefault="0012209D" w:rsidP="00E4329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56EAB590" w14:textId="77777777" w:rsidR="0012209D" w:rsidRPr="009957AE" w:rsidRDefault="0012209D" w:rsidP="00E4329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495B7A88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3956B06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377A01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505461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C1C2C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55AB8E71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788C7F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B2BCD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03D36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DD313CD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25D88F0E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845F57" w14:textId="77777777" w:rsidR="0012209D" w:rsidRPr="009957AE" w:rsidRDefault="004263FE" w:rsidP="00E43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4A61B9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93DD3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9B1745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3C541EB1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FF4CF85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A0D6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25FB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F148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600C7EF9" w14:textId="77777777" w:rsidTr="00E4329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022A526F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0F8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0935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C3290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540BA49F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700D4B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BAD33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46683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198B8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436428AD" w14:textId="77777777" w:rsidTr="00E4329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74007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02555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5111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D3F59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6C53CD0A" w14:textId="77777777" w:rsidTr="00E4329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74794B89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0EF540E5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EDE5A7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901C9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A5E6C3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927DE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5AE11DA3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C73E39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AAFC6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A25FB9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3F27A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092E53B8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3AEC9B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493A97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D9D63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FB9922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0D57C929" w14:textId="77777777" w:rsidTr="00E4329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E6D52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4CB74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E088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A8972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00017869" w14:textId="77777777" w:rsidTr="00E4329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BCCEF33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0B3A010F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74F171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5F56B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8E89F1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4EA5C3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250DFF5E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476069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4A6C52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2A46E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EDFD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3E37CC10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0A7ED5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B0885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6C79ED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8E7BF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77E702FE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9C6743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32734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7DEB1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B1ED3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241B3215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6AAF33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D02B24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13E86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C7BFE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0E1F77EC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5D0594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ABD03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5F927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82B9D2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681F3C8C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4848E9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220AF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0C0E1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851FBC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51B67620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62AB1E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14B52BA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B15F39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C9EC34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7BFCFA1A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FDE82B7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497F31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A17D6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54A2F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3DADD47E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13BADF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F4C791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98D540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39CE5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2110B4C5" w14:textId="77777777" w:rsidTr="00E4329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CD66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DA3EA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0407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546FA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59856AFF" w14:textId="77777777" w:rsidTr="00E4329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8F3BC24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5ADA1841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66A222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66E8F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0413E2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7BC24F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112D537C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E1615B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060E7E8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AD6EE5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842933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  <w:tr w:rsidR="0012209D" w:rsidRPr="009957AE" w14:paraId="0C8E92DE" w14:textId="77777777" w:rsidTr="00E4329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2E87A3E" w14:textId="77777777" w:rsidR="0012209D" w:rsidRPr="009957AE" w:rsidRDefault="0012209D" w:rsidP="00E4329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A646DB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F93173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EAE636" w14:textId="77777777" w:rsidR="0012209D" w:rsidRPr="009957AE" w:rsidRDefault="0012209D" w:rsidP="00E43297">
            <w:pPr>
              <w:rPr>
                <w:sz w:val="16"/>
                <w:szCs w:val="16"/>
              </w:rPr>
            </w:pPr>
          </w:p>
        </w:tc>
      </w:tr>
    </w:tbl>
    <w:p w14:paraId="54A4FBAE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0144" w14:textId="77777777" w:rsidR="00F115D7" w:rsidRDefault="00F115D7">
      <w:r>
        <w:separator/>
      </w:r>
    </w:p>
    <w:p w14:paraId="14C7751C" w14:textId="77777777" w:rsidR="00F115D7" w:rsidRDefault="00F115D7"/>
  </w:endnote>
  <w:endnote w:type="continuationSeparator" w:id="0">
    <w:p w14:paraId="50C9AE63" w14:textId="77777777" w:rsidR="00F115D7" w:rsidRDefault="00F115D7">
      <w:r>
        <w:continuationSeparator/>
      </w:r>
    </w:p>
    <w:p w14:paraId="6433F457" w14:textId="77777777" w:rsidR="00F115D7" w:rsidRDefault="00F11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DCCA" w14:textId="51FC229C" w:rsidR="00791E9E" w:rsidRDefault="00791E9E" w:rsidP="002523FC">
    <w:pPr>
      <w:pStyle w:val="ContinuationFooter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E4AA" w14:textId="77777777" w:rsidR="00F115D7" w:rsidRDefault="00F115D7">
      <w:r>
        <w:separator/>
      </w:r>
    </w:p>
    <w:p w14:paraId="7FA536A7" w14:textId="77777777" w:rsidR="00F115D7" w:rsidRDefault="00F115D7"/>
  </w:footnote>
  <w:footnote w:type="continuationSeparator" w:id="0">
    <w:p w14:paraId="1A2CBD1B" w14:textId="77777777" w:rsidR="00F115D7" w:rsidRDefault="00F115D7">
      <w:r>
        <w:continuationSeparator/>
      </w:r>
    </w:p>
    <w:p w14:paraId="415F6238" w14:textId="77777777" w:rsidR="00F115D7" w:rsidRDefault="00F11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791E9E" w14:paraId="3D23CF14" w14:textId="77777777" w:rsidTr="00854B1E">
      <w:trPr>
        <w:trHeight w:hRule="exact" w:val="227"/>
      </w:trPr>
      <w:tc>
        <w:tcPr>
          <w:tcW w:w="9639" w:type="dxa"/>
        </w:tcPr>
        <w:p w14:paraId="0E0DA947" w14:textId="77777777" w:rsidR="00791E9E" w:rsidRDefault="00791E9E" w:rsidP="0029789A">
          <w:pPr>
            <w:pStyle w:val="Header"/>
          </w:pPr>
        </w:p>
      </w:tc>
    </w:tr>
    <w:tr w:rsidR="00791E9E" w14:paraId="2867229C" w14:textId="77777777" w:rsidTr="00013C10">
      <w:trPr>
        <w:trHeight w:val="1183"/>
      </w:trPr>
      <w:tc>
        <w:tcPr>
          <w:tcW w:w="9639" w:type="dxa"/>
        </w:tcPr>
        <w:p w14:paraId="21CBF448" w14:textId="77777777" w:rsidR="00791E9E" w:rsidRDefault="00791E9E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3A70B313" wp14:editId="1092B5B3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37DFE4" w14:textId="035A6C90" w:rsidR="00723930" w:rsidRDefault="00723930" w:rsidP="00723930">
    <w:pPr>
      <w:pStyle w:val="DocTitle"/>
    </w:pPr>
    <w:r>
      <w:t>Senior Post Holder</w:t>
    </w:r>
  </w:p>
  <w:p w14:paraId="2DDD8667" w14:textId="2A3FB211" w:rsidR="00791E9E" w:rsidRPr="0005274A" w:rsidRDefault="00723930" w:rsidP="00723930">
    <w:pPr>
      <w:pStyle w:val="DocTitle"/>
    </w:pPr>
    <w:r>
      <w:t xml:space="preserve">Role Descriptor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2902"/>
    <w:multiLevelType w:val="hybridMultilevel"/>
    <w:tmpl w:val="F578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2346B"/>
    <w:multiLevelType w:val="hybridMultilevel"/>
    <w:tmpl w:val="41AC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1A37"/>
    <w:multiLevelType w:val="hybridMultilevel"/>
    <w:tmpl w:val="C840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80F40"/>
    <w:multiLevelType w:val="hybridMultilevel"/>
    <w:tmpl w:val="6C14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D4C94"/>
    <w:multiLevelType w:val="hybridMultilevel"/>
    <w:tmpl w:val="10E8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10704"/>
    <w:multiLevelType w:val="hybridMultilevel"/>
    <w:tmpl w:val="974E2F38"/>
    <w:lvl w:ilvl="0" w:tplc="1E3E8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A63BC8"/>
    <w:multiLevelType w:val="hybridMultilevel"/>
    <w:tmpl w:val="17268BA0"/>
    <w:lvl w:ilvl="0" w:tplc="FD82F2B8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SimSu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6E13909"/>
    <w:multiLevelType w:val="hybridMultilevel"/>
    <w:tmpl w:val="A00C7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6D13D5"/>
    <w:multiLevelType w:val="hybridMultilevel"/>
    <w:tmpl w:val="47B8B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740BF7"/>
    <w:multiLevelType w:val="hybridMultilevel"/>
    <w:tmpl w:val="7EEA3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53562"/>
    <w:multiLevelType w:val="hybridMultilevel"/>
    <w:tmpl w:val="4C7A6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469C"/>
    <w:multiLevelType w:val="hybridMultilevel"/>
    <w:tmpl w:val="4536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AE7B42"/>
    <w:multiLevelType w:val="hybridMultilevel"/>
    <w:tmpl w:val="CB18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1510696"/>
    <w:multiLevelType w:val="multilevel"/>
    <w:tmpl w:val="CAC4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37987355">
    <w:abstractNumId w:val="31"/>
  </w:num>
  <w:num w:numId="2" w16cid:durableId="1449010915">
    <w:abstractNumId w:val="0"/>
  </w:num>
  <w:num w:numId="3" w16cid:durableId="550654862">
    <w:abstractNumId w:val="25"/>
  </w:num>
  <w:num w:numId="4" w16cid:durableId="1844658619">
    <w:abstractNumId w:val="15"/>
  </w:num>
  <w:num w:numId="5" w16cid:durableId="465660830">
    <w:abstractNumId w:val="16"/>
  </w:num>
  <w:num w:numId="6" w16cid:durableId="1900432920">
    <w:abstractNumId w:val="12"/>
  </w:num>
  <w:num w:numId="7" w16cid:durableId="2041858450">
    <w:abstractNumId w:val="4"/>
  </w:num>
  <w:num w:numId="8" w16cid:durableId="1496916707">
    <w:abstractNumId w:val="9"/>
  </w:num>
  <w:num w:numId="9" w16cid:durableId="87239623">
    <w:abstractNumId w:val="2"/>
  </w:num>
  <w:num w:numId="10" w16cid:durableId="1083601668">
    <w:abstractNumId w:val="14"/>
  </w:num>
  <w:num w:numId="11" w16cid:durableId="1224147043">
    <w:abstractNumId w:val="8"/>
  </w:num>
  <w:num w:numId="12" w16cid:durableId="145098627">
    <w:abstractNumId w:val="26"/>
  </w:num>
  <w:num w:numId="13" w16cid:durableId="713233091">
    <w:abstractNumId w:val="28"/>
  </w:num>
  <w:num w:numId="14" w16cid:durableId="1264874168">
    <w:abstractNumId w:val="11"/>
  </w:num>
  <w:num w:numId="15" w16cid:durableId="897974677">
    <w:abstractNumId w:val="3"/>
  </w:num>
  <w:num w:numId="16" w16cid:durableId="2071532943">
    <w:abstractNumId w:val="21"/>
  </w:num>
  <w:num w:numId="17" w16cid:durableId="1664046076">
    <w:abstractNumId w:val="24"/>
  </w:num>
  <w:num w:numId="18" w16cid:durableId="890576522">
    <w:abstractNumId w:val="30"/>
  </w:num>
  <w:num w:numId="19" w16cid:durableId="970667601">
    <w:abstractNumId w:val="17"/>
  </w:num>
  <w:num w:numId="20" w16cid:durableId="270860987">
    <w:abstractNumId w:val="13"/>
  </w:num>
  <w:num w:numId="21" w16cid:durableId="661203327">
    <w:abstractNumId w:val="23"/>
  </w:num>
  <w:num w:numId="22" w16cid:durableId="148331449">
    <w:abstractNumId w:val="10"/>
  </w:num>
  <w:num w:numId="23" w16cid:durableId="1174687541">
    <w:abstractNumId w:val="20"/>
  </w:num>
  <w:num w:numId="24" w16cid:durableId="19529785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7325128">
    <w:abstractNumId w:val="18"/>
  </w:num>
  <w:num w:numId="26" w16cid:durableId="1692730325">
    <w:abstractNumId w:val="22"/>
  </w:num>
  <w:num w:numId="27" w16cid:durableId="944967739">
    <w:abstractNumId w:val="6"/>
  </w:num>
  <w:num w:numId="28" w16cid:durableId="119299462">
    <w:abstractNumId w:val="5"/>
  </w:num>
  <w:num w:numId="29" w16cid:durableId="1553078318">
    <w:abstractNumId w:val="1"/>
  </w:num>
  <w:num w:numId="30" w16cid:durableId="379599533">
    <w:abstractNumId w:val="7"/>
  </w:num>
  <w:num w:numId="31" w16cid:durableId="185757091">
    <w:abstractNumId w:val="27"/>
  </w:num>
  <w:num w:numId="32" w16cid:durableId="17669898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4809"/>
    <w:rsid w:val="000372ED"/>
    <w:rsid w:val="00043A98"/>
    <w:rsid w:val="00043C4A"/>
    <w:rsid w:val="00046328"/>
    <w:rsid w:val="0005274A"/>
    <w:rsid w:val="000546E8"/>
    <w:rsid w:val="00062768"/>
    <w:rsid w:val="00063081"/>
    <w:rsid w:val="00071653"/>
    <w:rsid w:val="00075B8F"/>
    <w:rsid w:val="000824F4"/>
    <w:rsid w:val="00083E47"/>
    <w:rsid w:val="000978E8"/>
    <w:rsid w:val="000A100D"/>
    <w:rsid w:val="000B1DED"/>
    <w:rsid w:val="000B4C21"/>
    <w:rsid w:val="000B4E5A"/>
    <w:rsid w:val="000D56E6"/>
    <w:rsid w:val="000D7B82"/>
    <w:rsid w:val="000E683D"/>
    <w:rsid w:val="000E7C02"/>
    <w:rsid w:val="0010212F"/>
    <w:rsid w:val="0012209D"/>
    <w:rsid w:val="001271D5"/>
    <w:rsid w:val="00142F60"/>
    <w:rsid w:val="00143B06"/>
    <w:rsid w:val="001532E2"/>
    <w:rsid w:val="00156F2F"/>
    <w:rsid w:val="0016097A"/>
    <w:rsid w:val="001614F2"/>
    <w:rsid w:val="00164ED0"/>
    <w:rsid w:val="001651D4"/>
    <w:rsid w:val="00173775"/>
    <w:rsid w:val="00174000"/>
    <w:rsid w:val="0018144C"/>
    <w:rsid w:val="001840EA"/>
    <w:rsid w:val="00191403"/>
    <w:rsid w:val="001928FF"/>
    <w:rsid w:val="001B2690"/>
    <w:rsid w:val="001B6986"/>
    <w:rsid w:val="001C5C5C"/>
    <w:rsid w:val="001D0B37"/>
    <w:rsid w:val="001D495C"/>
    <w:rsid w:val="001D5201"/>
    <w:rsid w:val="001D7FC5"/>
    <w:rsid w:val="001E24BE"/>
    <w:rsid w:val="001F0162"/>
    <w:rsid w:val="00205458"/>
    <w:rsid w:val="00236BFE"/>
    <w:rsid w:val="002401FA"/>
    <w:rsid w:val="00241441"/>
    <w:rsid w:val="0024539C"/>
    <w:rsid w:val="00246343"/>
    <w:rsid w:val="002523FC"/>
    <w:rsid w:val="00254722"/>
    <w:rsid w:val="002547F5"/>
    <w:rsid w:val="00255B68"/>
    <w:rsid w:val="00260333"/>
    <w:rsid w:val="002607CF"/>
    <w:rsid w:val="00260B1D"/>
    <w:rsid w:val="00266C6A"/>
    <w:rsid w:val="0028509A"/>
    <w:rsid w:val="0029043C"/>
    <w:rsid w:val="00293D3C"/>
    <w:rsid w:val="00296EEB"/>
    <w:rsid w:val="0029789A"/>
    <w:rsid w:val="002A70BE"/>
    <w:rsid w:val="002C6198"/>
    <w:rsid w:val="002D1295"/>
    <w:rsid w:val="002D297F"/>
    <w:rsid w:val="002D2EE5"/>
    <w:rsid w:val="002D4DF4"/>
    <w:rsid w:val="002F09AD"/>
    <w:rsid w:val="002F7E8D"/>
    <w:rsid w:val="00311989"/>
    <w:rsid w:val="0031309C"/>
    <w:rsid w:val="00313CC8"/>
    <w:rsid w:val="003178D9"/>
    <w:rsid w:val="00330A49"/>
    <w:rsid w:val="00336D3B"/>
    <w:rsid w:val="0034151E"/>
    <w:rsid w:val="00361810"/>
    <w:rsid w:val="00364B2C"/>
    <w:rsid w:val="003701F7"/>
    <w:rsid w:val="00393349"/>
    <w:rsid w:val="003A29ED"/>
    <w:rsid w:val="003B0262"/>
    <w:rsid w:val="003B7540"/>
    <w:rsid w:val="003C33AC"/>
    <w:rsid w:val="003C4993"/>
    <w:rsid w:val="003E1A0A"/>
    <w:rsid w:val="003E5C3D"/>
    <w:rsid w:val="003F46AE"/>
    <w:rsid w:val="004015AF"/>
    <w:rsid w:val="00416F53"/>
    <w:rsid w:val="004263FE"/>
    <w:rsid w:val="00460D04"/>
    <w:rsid w:val="00463797"/>
    <w:rsid w:val="00474D00"/>
    <w:rsid w:val="004759C6"/>
    <w:rsid w:val="004800AE"/>
    <w:rsid w:val="00481A48"/>
    <w:rsid w:val="004A79B5"/>
    <w:rsid w:val="004B2A50"/>
    <w:rsid w:val="004B7DC7"/>
    <w:rsid w:val="004C0252"/>
    <w:rsid w:val="004C130E"/>
    <w:rsid w:val="004E7077"/>
    <w:rsid w:val="004F058A"/>
    <w:rsid w:val="004F6849"/>
    <w:rsid w:val="005145B2"/>
    <w:rsid w:val="0051744C"/>
    <w:rsid w:val="00524005"/>
    <w:rsid w:val="00532370"/>
    <w:rsid w:val="00541CE0"/>
    <w:rsid w:val="005534E1"/>
    <w:rsid w:val="00570DEF"/>
    <w:rsid w:val="00573487"/>
    <w:rsid w:val="00580CBF"/>
    <w:rsid w:val="005907B3"/>
    <w:rsid w:val="005949FA"/>
    <w:rsid w:val="005B3375"/>
    <w:rsid w:val="005B39E5"/>
    <w:rsid w:val="005C3ADA"/>
    <w:rsid w:val="005C5010"/>
    <w:rsid w:val="005D44D1"/>
    <w:rsid w:val="005E4344"/>
    <w:rsid w:val="005E662F"/>
    <w:rsid w:val="006115DA"/>
    <w:rsid w:val="0061418C"/>
    <w:rsid w:val="006249FD"/>
    <w:rsid w:val="00625F2C"/>
    <w:rsid w:val="00633A53"/>
    <w:rsid w:val="0063768D"/>
    <w:rsid w:val="00651280"/>
    <w:rsid w:val="00653085"/>
    <w:rsid w:val="0066213C"/>
    <w:rsid w:val="006645F0"/>
    <w:rsid w:val="00680547"/>
    <w:rsid w:val="006812C3"/>
    <w:rsid w:val="00685F00"/>
    <w:rsid w:val="00690FD5"/>
    <w:rsid w:val="00695D76"/>
    <w:rsid w:val="006A1763"/>
    <w:rsid w:val="006A4638"/>
    <w:rsid w:val="006A5455"/>
    <w:rsid w:val="006B1AF6"/>
    <w:rsid w:val="006E0DEE"/>
    <w:rsid w:val="006F44EB"/>
    <w:rsid w:val="006F7699"/>
    <w:rsid w:val="0070376B"/>
    <w:rsid w:val="00710A92"/>
    <w:rsid w:val="00723930"/>
    <w:rsid w:val="007338A8"/>
    <w:rsid w:val="00736110"/>
    <w:rsid w:val="00745DA6"/>
    <w:rsid w:val="00761108"/>
    <w:rsid w:val="0079197B"/>
    <w:rsid w:val="00791A2A"/>
    <w:rsid w:val="00791E9E"/>
    <w:rsid w:val="007C22CC"/>
    <w:rsid w:val="007C3A19"/>
    <w:rsid w:val="007C4772"/>
    <w:rsid w:val="007C6FAA"/>
    <w:rsid w:val="007D64AF"/>
    <w:rsid w:val="007D7BE9"/>
    <w:rsid w:val="007E2D19"/>
    <w:rsid w:val="007E3F58"/>
    <w:rsid w:val="007F2AEA"/>
    <w:rsid w:val="007F6990"/>
    <w:rsid w:val="00813365"/>
    <w:rsid w:val="00813A2C"/>
    <w:rsid w:val="0082020C"/>
    <w:rsid w:val="0082075E"/>
    <w:rsid w:val="008368A4"/>
    <w:rsid w:val="008443D8"/>
    <w:rsid w:val="00845B96"/>
    <w:rsid w:val="0085391D"/>
    <w:rsid w:val="00854B1E"/>
    <w:rsid w:val="008560CE"/>
    <w:rsid w:val="00856B8A"/>
    <w:rsid w:val="00874F87"/>
    <w:rsid w:val="00876272"/>
    <w:rsid w:val="00883499"/>
    <w:rsid w:val="00885FD1"/>
    <w:rsid w:val="008A073C"/>
    <w:rsid w:val="008A0816"/>
    <w:rsid w:val="008A4845"/>
    <w:rsid w:val="008A5DED"/>
    <w:rsid w:val="008B260F"/>
    <w:rsid w:val="008B69FE"/>
    <w:rsid w:val="008D3C69"/>
    <w:rsid w:val="008D52C9"/>
    <w:rsid w:val="008F03C7"/>
    <w:rsid w:val="008F21D0"/>
    <w:rsid w:val="00904F67"/>
    <w:rsid w:val="009064A9"/>
    <w:rsid w:val="009262CE"/>
    <w:rsid w:val="009270F7"/>
    <w:rsid w:val="00944957"/>
    <w:rsid w:val="00945F4B"/>
    <w:rsid w:val="009464AF"/>
    <w:rsid w:val="00954E47"/>
    <w:rsid w:val="009612AA"/>
    <w:rsid w:val="009635B3"/>
    <w:rsid w:val="00965BFB"/>
    <w:rsid w:val="00970E28"/>
    <w:rsid w:val="0098120F"/>
    <w:rsid w:val="0098280E"/>
    <w:rsid w:val="00996476"/>
    <w:rsid w:val="009977EC"/>
    <w:rsid w:val="009C6433"/>
    <w:rsid w:val="009E1899"/>
    <w:rsid w:val="009E731E"/>
    <w:rsid w:val="00A0033B"/>
    <w:rsid w:val="00A021B7"/>
    <w:rsid w:val="00A0597D"/>
    <w:rsid w:val="00A05A22"/>
    <w:rsid w:val="00A131D9"/>
    <w:rsid w:val="00A14888"/>
    <w:rsid w:val="00A23226"/>
    <w:rsid w:val="00A34296"/>
    <w:rsid w:val="00A3630A"/>
    <w:rsid w:val="00A5015E"/>
    <w:rsid w:val="00A50B5C"/>
    <w:rsid w:val="00A521A9"/>
    <w:rsid w:val="00A5288F"/>
    <w:rsid w:val="00A84DA5"/>
    <w:rsid w:val="00A925C0"/>
    <w:rsid w:val="00AA000A"/>
    <w:rsid w:val="00AA3CB5"/>
    <w:rsid w:val="00AA7AE2"/>
    <w:rsid w:val="00AB2C79"/>
    <w:rsid w:val="00AB4A9C"/>
    <w:rsid w:val="00AC1C00"/>
    <w:rsid w:val="00AC2B17"/>
    <w:rsid w:val="00AE1CA0"/>
    <w:rsid w:val="00AE39DC"/>
    <w:rsid w:val="00AE4DC4"/>
    <w:rsid w:val="00AF1DD6"/>
    <w:rsid w:val="00B118BD"/>
    <w:rsid w:val="00B1663E"/>
    <w:rsid w:val="00B17E26"/>
    <w:rsid w:val="00B22A1C"/>
    <w:rsid w:val="00B241CF"/>
    <w:rsid w:val="00B27C7C"/>
    <w:rsid w:val="00B430BB"/>
    <w:rsid w:val="00B625EE"/>
    <w:rsid w:val="00B70896"/>
    <w:rsid w:val="00B84C12"/>
    <w:rsid w:val="00B90664"/>
    <w:rsid w:val="00B92F90"/>
    <w:rsid w:val="00BB4A42"/>
    <w:rsid w:val="00BB7845"/>
    <w:rsid w:val="00BE044B"/>
    <w:rsid w:val="00BF1CC6"/>
    <w:rsid w:val="00C16DFC"/>
    <w:rsid w:val="00C30199"/>
    <w:rsid w:val="00C33926"/>
    <w:rsid w:val="00C41388"/>
    <w:rsid w:val="00C55E14"/>
    <w:rsid w:val="00C65515"/>
    <w:rsid w:val="00C76BCF"/>
    <w:rsid w:val="00C87377"/>
    <w:rsid w:val="00C907D0"/>
    <w:rsid w:val="00C9219B"/>
    <w:rsid w:val="00CA13ED"/>
    <w:rsid w:val="00CA5DC0"/>
    <w:rsid w:val="00CA7A9B"/>
    <w:rsid w:val="00CB1F23"/>
    <w:rsid w:val="00CC2537"/>
    <w:rsid w:val="00CD04F0"/>
    <w:rsid w:val="00CE3A26"/>
    <w:rsid w:val="00D04A71"/>
    <w:rsid w:val="00D05BE6"/>
    <w:rsid w:val="00D062B9"/>
    <w:rsid w:val="00D16D9D"/>
    <w:rsid w:val="00D3235F"/>
    <w:rsid w:val="00D3349E"/>
    <w:rsid w:val="00D34C8D"/>
    <w:rsid w:val="00D35289"/>
    <w:rsid w:val="00D445C2"/>
    <w:rsid w:val="00D47386"/>
    <w:rsid w:val="00D54AA2"/>
    <w:rsid w:val="00D55315"/>
    <w:rsid w:val="00D5587F"/>
    <w:rsid w:val="00D56D76"/>
    <w:rsid w:val="00D65B56"/>
    <w:rsid w:val="00D67D41"/>
    <w:rsid w:val="00D7180F"/>
    <w:rsid w:val="00D90B18"/>
    <w:rsid w:val="00DA22F7"/>
    <w:rsid w:val="00DA29D6"/>
    <w:rsid w:val="00DA3C43"/>
    <w:rsid w:val="00DC50CD"/>
    <w:rsid w:val="00DE034B"/>
    <w:rsid w:val="00DE31D8"/>
    <w:rsid w:val="00DF19E2"/>
    <w:rsid w:val="00DF2B3F"/>
    <w:rsid w:val="00E15419"/>
    <w:rsid w:val="00E25775"/>
    <w:rsid w:val="00E264FD"/>
    <w:rsid w:val="00E27EA8"/>
    <w:rsid w:val="00E3608C"/>
    <w:rsid w:val="00E363B8"/>
    <w:rsid w:val="00E3698A"/>
    <w:rsid w:val="00E43297"/>
    <w:rsid w:val="00E51586"/>
    <w:rsid w:val="00E53784"/>
    <w:rsid w:val="00E5716B"/>
    <w:rsid w:val="00E63114"/>
    <w:rsid w:val="00E63AC1"/>
    <w:rsid w:val="00E653F3"/>
    <w:rsid w:val="00E675FE"/>
    <w:rsid w:val="00E7619E"/>
    <w:rsid w:val="00E804B0"/>
    <w:rsid w:val="00E83AE8"/>
    <w:rsid w:val="00E85D86"/>
    <w:rsid w:val="00E96015"/>
    <w:rsid w:val="00EB7BAC"/>
    <w:rsid w:val="00ED2E52"/>
    <w:rsid w:val="00EF40C2"/>
    <w:rsid w:val="00F01EA0"/>
    <w:rsid w:val="00F115D7"/>
    <w:rsid w:val="00F17795"/>
    <w:rsid w:val="00F17C92"/>
    <w:rsid w:val="00F31BC3"/>
    <w:rsid w:val="00F378D2"/>
    <w:rsid w:val="00F416ED"/>
    <w:rsid w:val="00F56496"/>
    <w:rsid w:val="00F64401"/>
    <w:rsid w:val="00F704BC"/>
    <w:rsid w:val="00F80C0B"/>
    <w:rsid w:val="00F85DED"/>
    <w:rsid w:val="00F90F90"/>
    <w:rsid w:val="00F97F3F"/>
    <w:rsid w:val="00FB7297"/>
    <w:rsid w:val="00FB7C35"/>
    <w:rsid w:val="00FC2ADA"/>
    <w:rsid w:val="00FC5357"/>
    <w:rsid w:val="00FD5BD8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1152F5"/>
  <w15:docId w15:val="{A06CCC83-2C04-4256-93ED-D74504F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agm">
    <w:name w:val="agm"/>
    <w:basedOn w:val="Normal"/>
    <w:rsid w:val="000E683D"/>
    <w:pPr>
      <w:overflowPunct/>
      <w:autoSpaceDE/>
      <w:autoSpaceDN/>
      <w:adjustRightInd/>
      <w:spacing w:before="0" w:after="0" w:line="480" w:lineRule="auto"/>
      <w:jc w:val="both"/>
      <w:textAlignment w:val="auto"/>
    </w:pPr>
    <w:rPr>
      <w:rFonts w:ascii="Bookman Old Style" w:eastAsia="MS Mincho" w:hAnsi="Bookman Old Style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EF40C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7FCE92AE0934AA75DC92C586D2B38" ma:contentTypeVersion="4" ma:contentTypeDescription="Create a new document." ma:contentTypeScope="" ma:versionID="200713e14b16188cf6fb00691a0015fa">
  <xsd:schema xmlns:xsd="http://www.w3.org/2001/XMLSchema" xmlns:xs="http://www.w3.org/2001/XMLSchema" xmlns:p="http://schemas.microsoft.com/office/2006/metadata/properties" xmlns:ns2="9ea42177-bd39-4422-bc55-06fe19a3249f" xmlns:ns3="42053911-1cb6-48e5-85c3-f28fde81b983" targetNamespace="http://schemas.microsoft.com/office/2006/metadata/properties" ma:root="true" ma:fieldsID="7a65266774043f4ea9f5c9f5ec9296dd" ns2:_="" ns3:_="">
    <xsd:import namespace="9ea42177-bd39-4422-bc55-06fe19a3249f"/>
    <xsd:import namespace="42053911-1cb6-48e5-85c3-f28fde81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2177-bd39-4422-bc55-06fe19a32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53911-1cb6-48e5-85c3-f28fde81b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CA045-B808-48FA-8B7F-CFC2F174A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784E2-B08F-4785-8588-9E9C08162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42177-bd39-4422-bc55-06fe19a3249f"/>
    <ds:schemaRef ds:uri="42053911-1cb6-48e5-85c3-f28fde81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Flynn S.</dc:creator>
  <cp:keywords>V0.1</cp:keywords>
  <cp:lastModifiedBy>Holly Shergold</cp:lastModifiedBy>
  <cp:revision>2</cp:revision>
  <cp:lastPrinted>2018-05-29T08:15:00Z</cp:lastPrinted>
  <dcterms:created xsi:type="dcterms:W3CDTF">2023-05-15T14:48:00Z</dcterms:created>
  <dcterms:modified xsi:type="dcterms:W3CDTF">2023-05-15T14:48:00Z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0x0101007577FCE92AE0934AA75DC92C586D2B38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