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2015"/>
        <w:gridCol w:w="2009"/>
        <w:gridCol w:w="2023"/>
        <w:gridCol w:w="2009"/>
      </w:tblGrid>
      <w:tr w:rsidR="00D10441" w14:paraId="15BF0869" w14:textId="77777777" w:rsidTr="00D10441">
        <w:tc>
          <w:tcPr>
            <w:tcW w:w="1592" w:type="dxa"/>
          </w:tcPr>
          <w:p w14:paraId="15BF0867" w14:textId="77777777" w:rsidR="00D10441" w:rsidRDefault="00D10441" w:rsidP="00321CAA">
            <w:r>
              <w:t>Last updated:</w:t>
            </w:r>
          </w:p>
        </w:tc>
        <w:tc>
          <w:tcPr>
            <w:tcW w:w="2039" w:type="dxa"/>
          </w:tcPr>
          <w:p w14:paraId="60B7E71D" w14:textId="66E5DF63" w:rsidR="00D10441" w:rsidRDefault="0044068D" w:rsidP="00CF6B38">
            <w:r>
              <w:t>May</w:t>
            </w:r>
            <w:r w:rsidR="00CF6B38">
              <w:t xml:space="preserve"> </w:t>
            </w:r>
            <w:r>
              <w:t>2022</w:t>
            </w:r>
          </w:p>
        </w:tc>
        <w:tc>
          <w:tcPr>
            <w:tcW w:w="2040" w:type="dxa"/>
          </w:tcPr>
          <w:p w14:paraId="0A2A32E2" w14:textId="36A3B2F1" w:rsidR="00D10441" w:rsidRDefault="00D10441" w:rsidP="00321CAA"/>
        </w:tc>
        <w:tc>
          <w:tcPr>
            <w:tcW w:w="2040" w:type="dxa"/>
          </w:tcPr>
          <w:p w14:paraId="0FEEB86F" w14:textId="65081336" w:rsidR="00D10441" w:rsidRDefault="00D10441" w:rsidP="00321CAA">
            <w:r>
              <w:t>Job evaluated:</w:t>
            </w:r>
          </w:p>
        </w:tc>
        <w:tc>
          <w:tcPr>
            <w:tcW w:w="2040" w:type="dxa"/>
          </w:tcPr>
          <w:p w14:paraId="15BF0868" w14:textId="0118637E" w:rsidR="00D10441" w:rsidRDefault="00D10441" w:rsidP="00321CAA"/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95"/>
        <w:gridCol w:w="4154"/>
        <w:gridCol w:w="949"/>
        <w:gridCol w:w="1929"/>
      </w:tblGrid>
      <w:tr w:rsidR="0012209D" w14:paraId="15BF086F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42" w:type="dxa"/>
            <w:gridSpan w:val="3"/>
          </w:tcPr>
          <w:p w14:paraId="15BF086E" w14:textId="393F4AAE" w:rsidR="0012209D" w:rsidRPr="00447FD8" w:rsidRDefault="0044068D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Reward and Recognition </w:t>
            </w:r>
            <w:r w:rsidR="00CF6B38">
              <w:rPr>
                <w:b/>
                <w:bCs/>
              </w:rPr>
              <w:t>Advise</w:t>
            </w:r>
            <w:r>
              <w:rPr>
                <w:b/>
                <w:bCs/>
              </w:rPr>
              <w:t>r</w:t>
            </w:r>
          </w:p>
        </w:tc>
      </w:tr>
      <w:tr w:rsidR="0012209D" w14:paraId="15BF0875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73" w14:textId="7F3FE9EB" w:rsidR="0012209D" w:rsidRDefault="00372DDC" w:rsidP="00372DDC">
            <w:r>
              <w:t>School/Department</w:t>
            </w:r>
            <w:r w:rsidR="0012209D">
              <w:t>:</w:t>
            </w:r>
          </w:p>
        </w:tc>
        <w:tc>
          <w:tcPr>
            <w:tcW w:w="7142" w:type="dxa"/>
            <w:gridSpan w:val="3"/>
          </w:tcPr>
          <w:p w14:paraId="15BF0874" w14:textId="48AAAD84" w:rsidR="0012209D" w:rsidRDefault="00CF6B38" w:rsidP="00321CAA">
            <w:r>
              <w:t>Human Resources</w:t>
            </w:r>
          </w:p>
        </w:tc>
      </w:tr>
      <w:tr w:rsidR="00372DDC" w14:paraId="07201851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8400D7" w14:textId="4937DDAC" w:rsidR="00372DDC" w:rsidRDefault="00372DDC" w:rsidP="00321CAA">
            <w:r>
              <w:t>Faculty/Directorate:</w:t>
            </w:r>
          </w:p>
        </w:tc>
        <w:tc>
          <w:tcPr>
            <w:tcW w:w="7142" w:type="dxa"/>
            <w:gridSpan w:val="3"/>
          </w:tcPr>
          <w:p w14:paraId="7A897A27" w14:textId="56CF704D" w:rsidR="00372DDC" w:rsidRDefault="00CF6B38" w:rsidP="00321CAA">
            <w:r>
              <w:t xml:space="preserve">Professional Services </w:t>
            </w:r>
          </w:p>
        </w:tc>
      </w:tr>
      <w:tr w:rsidR="0012209D" w14:paraId="15BF087A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76" w14:textId="335B9BEC" w:rsidR="0012209D" w:rsidRDefault="00786A9C" w:rsidP="00321CAA">
            <w:r>
              <w:t>Job Famil</w:t>
            </w:r>
            <w:r w:rsidR="0012209D">
              <w:t>y:</w:t>
            </w:r>
          </w:p>
        </w:tc>
        <w:tc>
          <w:tcPr>
            <w:tcW w:w="4225" w:type="dxa"/>
          </w:tcPr>
          <w:p w14:paraId="15BF0877" w14:textId="0BBE5D42" w:rsidR="0012209D" w:rsidRDefault="00CF6B38" w:rsidP="00321CAA">
            <w:r>
              <w:t>MSA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962" w:type="dxa"/>
          </w:tcPr>
          <w:p w14:paraId="15BF0879" w14:textId="281D7540" w:rsidR="0012209D" w:rsidRDefault="00CF6B38" w:rsidP="00321CAA">
            <w:r>
              <w:t>4</w:t>
            </w:r>
          </w:p>
        </w:tc>
      </w:tr>
      <w:tr w:rsidR="0012209D" w14:paraId="15BF087E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7B" w14:textId="5BDA147D" w:rsidR="0012209D" w:rsidRDefault="00786A9C" w:rsidP="00786A9C">
            <w:r>
              <w:t>Career Pathway (</w:t>
            </w:r>
            <w:r w:rsidR="0012209D">
              <w:t>*ERE</w:t>
            </w:r>
            <w:r>
              <w:t>)</w:t>
            </w:r>
            <w:r w:rsidR="0012209D">
              <w:t>:</w:t>
            </w:r>
          </w:p>
        </w:tc>
        <w:tc>
          <w:tcPr>
            <w:tcW w:w="7142" w:type="dxa"/>
            <w:gridSpan w:val="3"/>
          </w:tcPr>
          <w:p w14:paraId="15BF087D" w14:textId="65B47B78" w:rsidR="0012209D" w:rsidRDefault="00CF6B38" w:rsidP="000132EB">
            <w:r>
              <w:t>N/A</w:t>
            </w:r>
          </w:p>
        </w:tc>
      </w:tr>
      <w:tr w:rsidR="0012209D" w14:paraId="15BF0881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7F" w14:textId="777A72E6" w:rsidR="0012209D" w:rsidRDefault="0012209D" w:rsidP="00786A9C">
            <w:r>
              <w:t>Post</w:t>
            </w:r>
            <w:r w:rsidR="00786A9C">
              <w:t xml:space="preserve"> title of line manager</w:t>
            </w:r>
            <w:r>
              <w:t>:</w:t>
            </w:r>
          </w:p>
        </w:tc>
        <w:tc>
          <w:tcPr>
            <w:tcW w:w="7142" w:type="dxa"/>
            <w:gridSpan w:val="3"/>
          </w:tcPr>
          <w:p w14:paraId="15BF0880" w14:textId="3B835ACD" w:rsidR="0012209D" w:rsidRPr="005508A2" w:rsidRDefault="00CF6B38" w:rsidP="00321CAA">
            <w:r>
              <w:t xml:space="preserve">Reward </w:t>
            </w:r>
            <w:r w:rsidR="0044068D">
              <w:t xml:space="preserve">and Recognition </w:t>
            </w:r>
            <w:r>
              <w:t>Manager</w:t>
            </w:r>
          </w:p>
        </w:tc>
      </w:tr>
      <w:tr w:rsidR="0012209D" w14:paraId="15BF0884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82" w14:textId="30CB2CC4" w:rsidR="0012209D" w:rsidRDefault="00786A9C" w:rsidP="00786A9C">
            <w:r>
              <w:t>Post</w:t>
            </w:r>
            <w:r w:rsidR="00DF22EA">
              <w:t>(s)</w:t>
            </w:r>
            <w:r>
              <w:t xml:space="preserve"> responsible for: </w:t>
            </w:r>
          </w:p>
        </w:tc>
        <w:tc>
          <w:tcPr>
            <w:tcW w:w="7142" w:type="dxa"/>
            <w:gridSpan w:val="3"/>
          </w:tcPr>
          <w:p w14:paraId="15BF0883" w14:textId="20BD5520" w:rsidR="0012209D" w:rsidRPr="00CF6B38" w:rsidRDefault="0044068D" w:rsidP="00321CAA">
            <w:r>
              <w:t>n/a</w:t>
            </w:r>
          </w:p>
        </w:tc>
      </w:tr>
      <w:tr w:rsidR="0012209D" w14:paraId="15BF0887" w14:textId="77777777" w:rsidTr="00786A9C">
        <w:tc>
          <w:tcPr>
            <w:tcW w:w="2609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42" w:type="dxa"/>
            <w:gridSpan w:val="3"/>
          </w:tcPr>
          <w:p w14:paraId="15BF0886" w14:textId="1B6D2A1E" w:rsidR="0012209D" w:rsidRPr="005508A2" w:rsidRDefault="00CF6B38" w:rsidP="00321CAA">
            <w:r>
              <w:t>Office</w:t>
            </w:r>
            <w:r w:rsidR="0044068D">
              <w:t>/home</w:t>
            </w:r>
            <w:r>
              <w:t>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CF6B38">
        <w:tc>
          <w:tcPr>
            <w:tcW w:w="9751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CF6B38" w14:paraId="15BF088C" w14:textId="77777777" w:rsidTr="00CF6B38">
        <w:trPr>
          <w:trHeight w:val="321"/>
        </w:trPr>
        <w:tc>
          <w:tcPr>
            <w:tcW w:w="9751" w:type="dxa"/>
          </w:tcPr>
          <w:p w14:paraId="1DE8BD49" w14:textId="77777777" w:rsidR="00CF6B38" w:rsidRDefault="00CF6B38" w:rsidP="00CF6B38">
            <w:r w:rsidRPr="00C31B06">
              <w:t xml:space="preserve">To </w:t>
            </w:r>
            <w:r w:rsidRPr="00DF0532">
              <w:t xml:space="preserve">assist the </w:t>
            </w:r>
            <w:r>
              <w:t xml:space="preserve">Reward Manager in implementing the University’s reward and recognition policies and processes, which support the organisational capability to deliver its strategic objectives. </w:t>
            </w:r>
          </w:p>
          <w:p w14:paraId="15BF088B" w14:textId="4ED28BF3" w:rsidR="00CF6B38" w:rsidRDefault="00CF6B38" w:rsidP="00CF6B38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2"/>
        <w:gridCol w:w="8007"/>
        <w:gridCol w:w="1018"/>
      </w:tblGrid>
      <w:tr w:rsidR="0012209D" w14:paraId="15BF0890" w14:textId="77777777" w:rsidTr="002933F6">
        <w:trPr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D0501E" w14:paraId="66B2DCC7" w14:textId="77777777" w:rsidTr="002933F6">
        <w:tc>
          <w:tcPr>
            <w:tcW w:w="609" w:type="dxa"/>
            <w:tcBorders>
              <w:right w:val="nil"/>
            </w:tcBorders>
          </w:tcPr>
          <w:p w14:paraId="1F73813F" w14:textId="77777777" w:rsidR="00D0501E" w:rsidRDefault="00D0501E" w:rsidP="00CF6B3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2D3213F2" w14:textId="3633051C" w:rsidR="001A0E21" w:rsidRPr="00DF0532" w:rsidRDefault="00D0501E" w:rsidP="005C6341">
            <w:r>
              <w:t xml:space="preserve">To be responsible for the provision of specialist HR advice </w:t>
            </w:r>
            <w:r w:rsidR="007C6740">
              <w:t xml:space="preserve">and data </w:t>
            </w:r>
            <w:r>
              <w:t xml:space="preserve">in relation to </w:t>
            </w:r>
            <w:r w:rsidR="003C6242">
              <w:t>reward</w:t>
            </w:r>
            <w:r w:rsidR="00C41330">
              <w:t xml:space="preserve"> and recognition</w:t>
            </w:r>
            <w:r w:rsidR="003C6242">
              <w:t xml:space="preserve">, performance and talent management. This involves becoming the technical expert in relevant internal reward policies, including </w:t>
            </w:r>
            <w:r w:rsidR="00C41330">
              <w:t xml:space="preserve">pay, </w:t>
            </w:r>
            <w:r w:rsidR="003C6242">
              <w:t>promotions, re-banding</w:t>
            </w:r>
            <w:r w:rsidR="00C41330">
              <w:t xml:space="preserve">, </w:t>
            </w:r>
            <w:r w:rsidR="003C6242">
              <w:t>re-grading and job evaluation; to coordinate the delivery</w:t>
            </w:r>
            <w:r w:rsidR="005C6341">
              <w:t xml:space="preserve"> and review </w:t>
            </w:r>
            <w:r w:rsidR="003C6242">
              <w:t>of these processes, ensuring time efficie</w:t>
            </w:r>
            <w:r w:rsidR="005C6341">
              <w:t xml:space="preserve">ncy, productivity and success of implementation. </w:t>
            </w:r>
          </w:p>
        </w:tc>
        <w:tc>
          <w:tcPr>
            <w:tcW w:w="1027" w:type="dxa"/>
          </w:tcPr>
          <w:p w14:paraId="7533FE62" w14:textId="54917859" w:rsidR="00D0501E" w:rsidRDefault="005C6341" w:rsidP="00EA2B94">
            <w:r>
              <w:t>2</w:t>
            </w:r>
            <w:r w:rsidR="00EA2B94">
              <w:t>5</w:t>
            </w:r>
            <w:r w:rsidR="001A0E21">
              <w:t>%</w:t>
            </w:r>
          </w:p>
        </w:tc>
      </w:tr>
      <w:tr w:rsidR="00EA2B94" w14:paraId="6AB35889" w14:textId="77777777" w:rsidTr="002933F6">
        <w:tc>
          <w:tcPr>
            <w:tcW w:w="609" w:type="dxa"/>
            <w:tcBorders>
              <w:right w:val="nil"/>
            </w:tcBorders>
          </w:tcPr>
          <w:p w14:paraId="61F4399D" w14:textId="77777777" w:rsidR="00EA2B94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71532468" w14:textId="244681C8" w:rsidR="00EA2B94" w:rsidRPr="00DF0532" w:rsidRDefault="00EA2B94" w:rsidP="00EA2B94">
            <w:r w:rsidRPr="007C0AB0">
              <w:t xml:space="preserve">Work in partnership with the wider </w:t>
            </w:r>
            <w:r>
              <w:t xml:space="preserve">HR </w:t>
            </w:r>
            <w:r w:rsidRPr="007C0AB0">
              <w:t>Team</w:t>
            </w:r>
            <w:r>
              <w:t xml:space="preserve">, key stakeholders and Trade Union representatives to influence and develop activities </w:t>
            </w:r>
            <w:r w:rsidRPr="007C0AB0">
              <w:t>that support the recruitment</w:t>
            </w:r>
            <w:r>
              <w:t>,</w:t>
            </w:r>
            <w:r w:rsidRPr="007C0AB0">
              <w:t xml:space="preserve"> retention, reward and development of the University’s people</w:t>
            </w:r>
            <w:r>
              <w:t>, engaging and motivating</w:t>
            </w:r>
            <w:r w:rsidRPr="007C0AB0">
              <w:t xml:space="preserve"> staff to deliver their best.  </w:t>
            </w:r>
            <w:r>
              <w:t>C</w:t>
            </w:r>
            <w:r w:rsidRPr="00C31B06">
              <w:t>ontribute to University wide projects using specialist knowledge</w:t>
            </w:r>
            <w:r>
              <w:t xml:space="preserve">, representing HR in meetings, </w:t>
            </w:r>
            <w:r w:rsidRPr="00C31B06">
              <w:t>lead</w:t>
            </w:r>
            <w:r>
              <w:t>ing</w:t>
            </w:r>
            <w:r w:rsidRPr="00C31B06">
              <w:t xml:space="preserve"> short</w:t>
            </w:r>
            <w:r>
              <w:t>-</w:t>
            </w:r>
            <w:r w:rsidRPr="00C31B06">
              <w:t xml:space="preserve">term projects within </w:t>
            </w:r>
            <w:r>
              <w:t>the HR department and achieving high quality service delivery.</w:t>
            </w:r>
          </w:p>
        </w:tc>
        <w:tc>
          <w:tcPr>
            <w:tcW w:w="1027" w:type="dxa"/>
          </w:tcPr>
          <w:p w14:paraId="1DA8AAF6" w14:textId="3FED9C3D" w:rsidR="00EA2B94" w:rsidRDefault="00EA2B94" w:rsidP="00EA2B94">
            <w:r>
              <w:t>20%</w:t>
            </w:r>
          </w:p>
        </w:tc>
      </w:tr>
      <w:tr w:rsidR="00EA2B94" w14:paraId="009FEC97" w14:textId="77777777" w:rsidTr="002933F6">
        <w:tc>
          <w:tcPr>
            <w:tcW w:w="609" w:type="dxa"/>
            <w:tcBorders>
              <w:right w:val="nil"/>
            </w:tcBorders>
          </w:tcPr>
          <w:p w14:paraId="11680B8D" w14:textId="7E469EEA" w:rsidR="00EA2B94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5F8FD186" w14:textId="5754DF3B" w:rsidR="00EA2B94" w:rsidRPr="00DF0532" w:rsidRDefault="00EA2B94" w:rsidP="00EA2B94">
            <w:r w:rsidRPr="00DF0532">
              <w:t xml:space="preserve">To support the </w:t>
            </w:r>
            <w:r>
              <w:t>Reward and Recognition Manager to review, design and develop reward and recognition policies and procedures to support the University strategy. Apply a good knowledge of HR best practice</w:t>
            </w:r>
            <w:r w:rsidR="007C6740">
              <w:t xml:space="preserve">, </w:t>
            </w:r>
            <w:r>
              <w:t>emerging trends</w:t>
            </w:r>
            <w:r w:rsidR="007C6740">
              <w:t>, and evidence-based information</w:t>
            </w:r>
            <w:r>
              <w:t xml:space="preserve"> in the areas of reward, performance and talent management.  </w:t>
            </w:r>
          </w:p>
        </w:tc>
        <w:tc>
          <w:tcPr>
            <w:tcW w:w="1027" w:type="dxa"/>
          </w:tcPr>
          <w:p w14:paraId="2B65EF74" w14:textId="0F48806B" w:rsidR="00EA2B94" w:rsidRDefault="00EA2B94" w:rsidP="00EA2B94">
            <w:r>
              <w:t>15%</w:t>
            </w:r>
          </w:p>
        </w:tc>
      </w:tr>
    </w:tbl>
    <w:p w14:paraId="535FF7FA" w14:textId="77777777" w:rsidR="00BE2992" w:rsidRDefault="00BE2992">
      <w:r>
        <w:br w:type="page"/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EA2B94" w14:paraId="1D50838A" w14:textId="77777777" w:rsidTr="002933F6">
        <w:tc>
          <w:tcPr>
            <w:tcW w:w="609" w:type="dxa"/>
            <w:tcBorders>
              <w:right w:val="nil"/>
            </w:tcBorders>
          </w:tcPr>
          <w:p w14:paraId="1EBA3AB4" w14:textId="7C8347A1" w:rsidR="00EA2B94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696ABFFD" w14:textId="46948A4B" w:rsidR="00EA2B94" w:rsidRPr="00DF0532" w:rsidRDefault="00EA2B94" w:rsidP="00EA2B94">
            <w:r w:rsidRPr="007C0AB0">
              <w:t xml:space="preserve">To </w:t>
            </w:r>
            <w:r>
              <w:t xml:space="preserve">carry out </w:t>
            </w:r>
            <w:r w:rsidRPr="007C0AB0">
              <w:t>regular management reporting as require</w:t>
            </w:r>
            <w:r>
              <w:t>d,</w:t>
            </w:r>
            <w:r w:rsidRPr="007C0AB0">
              <w:t xml:space="preserve"> to meet the University</w:t>
            </w:r>
            <w:r>
              <w:t>’s</w:t>
            </w:r>
            <w:r w:rsidRPr="007C0AB0">
              <w:t xml:space="preserve"> governance requirements</w:t>
            </w:r>
            <w:r>
              <w:t>,</w:t>
            </w:r>
            <w:r w:rsidRPr="007C0AB0">
              <w:t xml:space="preserve"> inclu</w:t>
            </w:r>
            <w:r>
              <w:t>ding the production of papers/reports for</w:t>
            </w:r>
            <w:r w:rsidRPr="007C0AB0">
              <w:t xml:space="preserve"> </w:t>
            </w:r>
            <w:r>
              <w:t xml:space="preserve">University Executive Board and Professional Services Leadership. Examples include reporting on </w:t>
            </w:r>
            <w:r w:rsidR="00E250FD">
              <w:t xml:space="preserve">Emeritus </w:t>
            </w:r>
            <w:r>
              <w:t>Status and the outcomes of the</w:t>
            </w:r>
            <w:r w:rsidR="00E250FD">
              <w:t xml:space="preserve"> academic</w:t>
            </w:r>
            <w:r>
              <w:t xml:space="preserve"> promotions and re-banding processes.</w:t>
            </w:r>
          </w:p>
        </w:tc>
        <w:tc>
          <w:tcPr>
            <w:tcW w:w="1027" w:type="dxa"/>
          </w:tcPr>
          <w:p w14:paraId="3F543A61" w14:textId="3814CCB0" w:rsidR="00EA2B94" w:rsidRDefault="00EA2B94" w:rsidP="00EA2B94">
            <w:r>
              <w:t>15%</w:t>
            </w:r>
          </w:p>
        </w:tc>
      </w:tr>
      <w:tr w:rsidR="00EA2B94" w14:paraId="15BF08A4" w14:textId="77777777" w:rsidTr="002933F6">
        <w:tc>
          <w:tcPr>
            <w:tcW w:w="609" w:type="dxa"/>
            <w:tcBorders>
              <w:right w:val="nil"/>
            </w:tcBorders>
          </w:tcPr>
          <w:p w14:paraId="15BF08A1" w14:textId="77777777" w:rsidR="00EA2B94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15BF08A2" w14:textId="666698B3" w:rsidR="00EA2B94" w:rsidRDefault="00EA2B94" w:rsidP="00EA2B94">
            <w:r w:rsidRPr="00DF0532">
              <w:t xml:space="preserve">To track, monitor and report on </w:t>
            </w:r>
            <w:r>
              <w:t xml:space="preserve">relevant reward and recognition policies, issues and problems, using knowledge of HR systems to identify and recommend appropriate solutions and process improvements </w:t>
            </w:r>
            <w:r w:rsidRPr="00DF0532">
              <w:t xml:space="preserve">to support </w:t>
            </w:r>
            <w:r>
              <w:t xml:space="preserve">the University strategy, for example the Equal Pay Report and action plans. </w:t>
            </w:r>
          </w:p>
        </w:tc>
        <w:tc>
          <w:tcPr>
            <w:tcW w:w="1027" w:type="dxa"/>
          </w:tcPr>
          <w:p w14:paraId="15BF08A3" w14:textId="62E4788C" w:rsidR="00EA2B94" w:rsidRDefault="00EA2B94" w:rsidP="00EA2B94">
            <w:r>
              <w:t>15%</w:t>
            </w:r>
          </w:p>
        </w:tc>
      </w:tr>
      <w:tr w:rsidR="00EA2B94" w14:paraId="79083C36" w14:textId="77777777" w:rsidTr="002933F6">
        <w:tc>
          <w:tcPr>
            <w:tcW w:w="609" w:type="dxa"/>
            <w:tcBorders>
              <w:right w:val="nil"/>
            </w:tcBorders>
          </w:tcPr>
          <w:p w14:paraId="4A2A913C" w14:textId="77777777" w:rsidR="00EA2B94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5E1285C2" w14:textId="438F684F" w:rsidR="00EA2B94" w:rsidRPr="007C0AB0" w:rsidRDefault="00EA2B94" w:rsidP="00EA2B94">
            <w:r w:rsidRPr="007C0AB0">
              <w:t>To have an understanding of how equality</w:t>
            </w:r>
            <w:r>
              <w:t xml:space="preserve">, </w:t>
            </w:r>
            <w:r w:rsidRPr="007C0AB0">
              <w:t>diversity</w:t>
            </w:r>
            <w:r>
              <w:t xml:space="preserve"> and inclusion</w:t>
            </w:r>
            <w:r w:rsidRPr="007C0AB0">
              <w:t xml:space="preserve"> applies to the responsibilities of the role and to actively promote equality and diversity in all aspects of the role.</w:t>
            </w:r>
          </w:p>
        </w:tc>
        <w:tc>
          <w:tcPr>
            <w:tcW w:w="1027" w:type="dxa"/>
          </w:tcPr>
          <w:p w14:paraId="07A250F3" w14:textId="23EF8859" w:rsidR="00EA2B94" w:rsidRDefault="00EA2B94" w:rsidP="00EA2B94">
            <w:r>
              <w:t>5%</w:t>
            </w:r>
          </w:p>
        </w:tc>
      </w:tr>
      <w:tr w:rsidR="00EA2B94" w14:paraId="5F605674" w14:textId="77777777" w:rsidTr="002933F6">
        <w:tc>
          <w:tcPr>
            <w:tcW w:w="609" w:type="dxa"/>
            <w:tcBorders>
              <w:right w:val="nil"/>
            </w:tcBorders>
          </w:tcPr>
          <w:p w14:paraId="2B6ABC92" w14:textId="77777777" w:rsidR="00EA2B94" w:rsidRDefault="00EA2B94" w:rsidP="00EA2B9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5" w:type="dxa"/>
            <w:tcBorders>
              <w:left w:val="nil"/>
            </w:tcBorders>
          </w:tcPr>
          <w:p w14:paraId="38D0E769" w14:textId="0DE190D6" w:rsidR="00EA2B94" w:rsidRPr="007C0AB0" w:rsidRDefault="00EA2B94" w:rsidP="00EA2B94">
            <w:r w:rsidRPr="00447FD8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414A6DBA" w14:textId="23AB5106" w:rsidR="00EA2B94" w:rsidRDefault="00EA2B94" w:rsidP="00EA2B94">
            <w:r>
              <w:t>5%</w:t>
            </w:r>
          </w:p>
        </w:tc>
      </w:tr>
    </w:tbl>
    <w:p w14:paraId="17168AC0" w14:textId="73B8CF59" w:rsidR="007E1CD3" w:rsidRDefault="00D0501E" w:rsidP="00D0501E">
      <w:pPr>
        <w:tabs>
          <w:tab w:val="left" w:pos="2595"/>
        </w:tabs>
      </w:pPr>
      <w:r>
        <w:tab/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802311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802311">
        <w:trPr>
          <w:trHeight w:val="1134"/>
        </w:trPr>
        <w:tc>
          <w:tcPr>
            <w:tcW w:w="9751" w:type="dxa"/>
          </w:tcPr>
          <w:p w14:paraId="0774690A" w14:textId="77777777" w:rsidR="00BA2D75" w:rsidRDefault="00BA2D75" w:rsidP="00BA2D75">
            <w:r>
              <w:t xml:space="preserve">The University community including the University Senior Management teams, managers and employees, trade unions, HR colleagues, Legal Services, Finance, International Office, Faculties and Academic Units, University networks. </w:t>
            </w:r>
          </w:p>
          <w:p w14:paraId="15BF08B0" w14:textId="17EE5ACF" w:rsidR="0012209D" w:rsidRDefault="00BA2D75" w:rsidP="00BA2D75">
            <w:r>
              <w:t>External providers, as appropriate.</w:t>
            </w:r>
          </w:p>
        </w:tc>
      </w:tr>
    </w:tbl>
    <w:p w14:paraId="15BF08B3" w14:textId="77777777" w:rsidR="00013C10" w:rsidRDefault="00013C10" w:rsidP="0012209D"/>
    <w:p w14:paraId="15BF08B4" w14:textId="77777777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300FF49" w14:textId="77777777" w:rsidR="00E0029D" w:rsidRDefault="00E0029D" w:rsidP="00E002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702"/>
        <w:gridCol w:w="4365"/>
        <w:gridCol w:w="2249"/>
        <w:gridCol w:w="1311"/>
      </w:tblGrid>
      <w:tr w:rsidR="007C4EB8" w14:paraId="401A8E75" w14:textId="77777777" w:rsidTr="00BA2D75">
        <w:tc>
          <w:tcPr>
            <w:tcW w:w="1708" w:type="dxa"/>
            <w:shd w:val="clear" w:color="auto" w:fill="D9D9D9" w:themeFill="background1" w:themeFillShade="D9"/>
            <w:vAlign w:val="center"/>
          </w:tcPr>
          <w:p w14:paraId="137E3800" w14:textId="77777777" w:rsidR="00372DDC" w:rsidRPr="00013C10" w:rsidRDefault="00372DDC" w:rsidP="00AA00F0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45" w:type="dxa"/>
            <w:shd w:val="clear" w:color="auto" w:fill="D9D9D9" w:themeFill="background1" w:themeFillShade="D9"/>
            <w:vAlign w:val="center"/>
          </w:tcPr>
          <w:p w14:paraId="6C370F12" w14:textId="77777777" w:rsidR="00372DDC" w:rsidRPr="00013C10" w:rsidRDefault="00372DDC" w:rsidP="00AA00F0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275" w:type="dxa"/>
            <w:shd w:val="clear" w:color="auto" w:fill="D9D9D9" w:themeFill="background1" w:themeFillShade="D9"/>
            <w:vAlign w:val="center"/>
          </w:tcPr>
          <w:p w14:paraId="174A12CA" w14:textId="77777777" w:rsidR="00372DDC" w:rsidRPr="00013C10" w:rsidRDefault="00372DDC" w:rsidP="00AA00F0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0FBF7C91" w14:textId="77777777" w:rsidR="00372DDC" w:rsidRPr="00013C10" w:rsidRDefault="00372DDC" w:rsidP="00AA00F0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585210" w14:paraId="395682C2" w14:textId="77777777" w:rsidTr="00BA2D75">
        <w:tc>
          <w:tcPr>
            <w:tcW w:w="1708" w:type="dxa"/>
          </w:tcPr>
          <w:p w14:paraId="55D7F8CB" w14:textId="77777777" w:rsidR="00585210" w:rsidRPr="00FD5B0E" w:rsidRDefault="00585210" w:rsidP="00585210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4445" w:type="dxa"/>
          </w:tcPr>
          <w:p w14:paraId="6A7CB142" w14:textId="1729A52F" w:rsidR="00585210" w:rsidRDefault="00585210" w:rsidP="00585210">
            <w:pPr>
              <w:spacing w:after="90"/>
            </w:pPr>
            <w:r>
              <w:t xml:space="preserve">Significant experience </w:t>
            </w:r>
            <w:r w:rsidR="00EA2B94">
              <w:t xml:space="preserve">and knowledge </w:t>
            </w:r>
            <w:r>
              <w:t>of delivering, accurate and timely, specialist</w:t>
            </w:r>
            <w:r w:rsidR="00BA2D75">
              <w:t xml:space="preserve"> advice and activities in a complex organisation in the areas of reward, performance and talent management.</w:t>
            </w:r>
          </w:p>
          <w:p w14:paraId="4CA91E72" w14:textId="77777777" w:rsidR="00585210" w:rsidRDefault="00585210" w:rsidP="00585210">
            <w:pPr>
              <w:spacing w:after="90"/>
            </w:pPr>
            <w:r>
              <w:t>Proven experience of successful pro-active HR project management.</w:t>
            </w:r>
          </w:p>
          <w:p w14:paraId="0F01E3B8" w14:textId="521CE286" w:rsidR="00585210" w:rsidRDefault="00585210" w:rsidP="00585210">
            <w:pPr>
              <w:spacing w:after="90"/>
            </w:pPr>
            <w:r>
              <w:t>Experience of working with, interpreting and applying comprehensive policies and procedures</w:t>
            </w:r>
            <w:r w:rsidR="00BA2D75">
              <w:t>.</w:t>
            </w:r>
            <w:r>
              <w:t xml:space="preserve"> </w:t>
            </w:r>
          </w:p>
          <w:p w14:paraId="7C4ACECE" w14:textId="77777777" w:rsidR="00585210" w:rsidRDefault="00585210" w:rsidP="00585210">
            <w:pPr>
              <w:spacing w:after="90"/>
            </w:pPr>
            <w:r>
              <w:t xml:space="preserve">Detailed understanding of a range of selection and assessment methods and proven experience of their practical application including development of career pathways for job families.  </w:t>
            </w:r>
          </w:p>
          <w:p w14:paraId="597058DD" w14:textId="5CECA501" w:rsidR="00585210" w:rsidRDefault="00585210" w:rsidP="00585210">
            <w:pPr>
              <w:spacing w:before="0" w:after="120"/>
            </w:pPr>
            <w:r>
              <w:t>Experience of formal report and draft policy writing with high levels of accuracy.</w:t>
            </w:r>
          </w:p>
        </w:tc>
        <w:tc>
          <w:tcPr>
            <w:tcW w:w="2275" w:type="dxa"/>
          </w:tcPr>
          <w:p w14:paraId="7D82EE0D" w14:textId="77777777" w:rsidR="00585210" w:rsidRDefault="00585210" w:rsidP="00585210">
            <w:pPr>
              <w:spacing w:after="90"/>
            </w:pPr>
            <w:r>
              <w:t>Professional membership of the CIPD.</w:t>
            </w:r>
          </w:p>
          <w:p w14:paraId="00FF3924" w14:textId="4C5782C1" w:rsidR="00C51655" w:rsidRDefault="00C51655" w:rsidP="00C51655">
            <w:pPr>
              <w:spacing w:after="90"/>
            </w:pPr>
            <w:r>
              <w:t>Experience of design and delivery of learning and development interventions.</w:t>
            </w:r>
          </w:p>
          <w:p w14:paraId="543FF16A" w14:textId="137B17F9" w:rsidR="007C6740" w:rsidRDefault="007C6740" w:rsidP="00C51655">
            <w:pPr>
              <w:spacing w:after="90"/>
            </w:pPr>
            <w:r>
              <w:t>Proficient in the use of Microsoft Excel, including formulas</w:t>
            </w:r>
          </w:p>
          <w:p w14:paraId="0D0E8489" w14:textId="77777777" w:rsidR="00C51655" w:rsidRDefault="00C51655" w:rsidP="00585210">
            <w:pPr>
              <w:spacing w:before="0" w:after="120"/>
            </w:pPr>
          </w:p>
          <w:p w14:paraId="460DFD50" w14:textId="22F36EFF" w:rsidR="00BA2D75" w:rsidRDefault="00BA2D75" w:rsidP="00585210">
            <w:pPr>
              <w:spacing w:before="0" w:after="120"/>
            </w:pPr>
          </w:p>
        </w:tc>
        <w:tc>
          <w:tcPr>
            <w:tcW w:w="1323" w:type="dxa"/>
          </w:tcPr>
          <w:p w14:paraId="21BBB68A" w14:textId="77777777" w:rsidR="00585210" w:rsidRDefault="00585210" w:rsidP="00585210">
            <w:pPr>
              <w:spacing w:before="0" w:after="120"/>
            </w:pPr>
          </w:p>
        </w:tc>
      </w:tr>
      <w:tr w:rsidR="00585210" w14:paraId="4E17B23E" w14:textId="77777777" w:rsidTr="00BA2D75">
        <w:tc>
          <w:tcPr>
            <w:tcW w:w="1708" w:type="dxa"/>
          </w:tcPr>
          <w:p w14:paraId="5AD6B562" w14:textId="302D5898" w:rsidR="00585210" w:rsidRPr="00FD5B0E" w:rsidRDefault="00585210" w:rsidP="00585210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4445" w:type="dxa"/>
          </w:tcPr>
          <w:p w14:paraId="14AECBF4" w14:textId="77777777" w:rsidR="00BA2D75" w:rsidRDefault="00BA2D75" w:rsidP="00BA2D75">
            <w:pPr>
              <w:spacing w:after="90"/>
            </w:pPr>
            <w:r>
              <w:t>Proven experience of working effectively both independently and in a team environment.</w:t>
            </w:r>
          </w:p>
          <w:p w14:paraId="08BE5800" w14:textId="77777777" w:rsidR="00BA2D75" w:rsidRDefault="00BA2D75" w:rsidP="00BA2D75">
            <w:pPr>
              <w:spacing w:after="90"/>
            </w:pPr>
            <w:r>
              <w:t>Proven ability to work autonomously and manage own workload.</w:t>
            </w:r>
          </w:p>
          <w:p w14:paraId="79F9542E" w14:textId="3CD138B2" w:rsidR="00585210" w:rsidRPr="00BA2D75" w:rsidRDefault="00BA2D75" w:rsidP="00BA2D75">
            <w:pPr>
              <w:spacing w:before="0" w:after="120"/>
              <w:rPr>
                <w:u w:val="single"/>
              </w:rPr>
            </w:pPr>
            <w:r>
              <w:t>Proven experience of working collaboratively with stakeholders to achieve an identified end goal.</w:t>
            </w:r>
          </w:p>
        </w:tc>
        <w:tc>
          <w:tcPr>
            <w:tcW w:w="2275" w:type="dxa"/>
          </w:tcPr>
          <w:p w14:paraId="6D1F51E8" w14:textId="0974DB23" w:rsidR="00585210" w:rsidRDefault="00585210" w:rsidP="0044068D">
            <w:pPr>
              <w:spacing w:before="0" w:after="120"/>
            </w:pPr>
          </w:p>
        </w:tc>
        <w:tc>
          <w:tcPr>
            <w:tcW w:w="1323" w:type="dxa"/>
          </w:tcPr>
          <w:p w14:paraId="65963261" w14:textId="77777777" w:rsidR="00585210" w:rsidRDefault="00585210" w:rsidP="00585210">
            <w:pPr>
              <w:spacing w:before="0" w:after="120"/>
            </w:pPr>
          </w:p>
        </w:tc>
      </w:tr>
      <w:tr w:rsidR="00BA2D75" w14:paraId="30F5A280" w14:textId="77777777" w:rsidTr="00BA2D75">
        <w:tc>
          <w:tcPr>
            <w:tcW w:w="1708" w:type="dxa"/>
          </w:tcPr>
          <w:p w14:paraId="46E30FE9" w14:textId="77777777" w:rsidR="00BA2D75" w:rsidRPr="00FD5B0E" w:rsidRDefault="00BA2D75" w:rsidP="00BA2D75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4445" w:type="dxa"/>
          </w:tcPr>
          <w:p w14:paraId="0F9342BE" w14:textId="77777777" w:rsidR="00BA2D75" w:rsidRDefault="00BA2D75" w:rsidP="00BA2D75">
            <w:pPr>
              <w:spacing w:after="90"/>
            </w:pPr>
            <w:r>
              <w:t>Able to demonstrate effective planning, management and prioritisation of an extensive and varied workload.</w:t>
            </w:r>
          </w:p>
          <w:p w14:paraId="0FE649C5" w14:textId="1F74332A" w:rsidR="00BA2D75" w:rsidRDefault="00BA2D75" w:rsidP="00BA2D75">
            <w:pPr>
              <w:spacing w:before="0" w:after="120"/>
            </w:pPr>
            <w:r>
              <w:lastRenderedPageBreak/>
              <w:t>Able to work under pressure, to manage, plan and prioritise own workload and ensure strict deadlines are met.</w:t>
            </w:r>
          </w:p>
        </w:tc>
        <w:tc>
          <w:tcPr>
            <w:tcW w:w="2275" w:type="dxa"/>
          </w:tcPr>
          <w:p w14:paraId="10A8C22B" w14:textId="47DBA3D1" w:rsidR="00BA2D75" w:rsidRDefault="00BA2D75" w:rsidP="00BA2D75">
            <w:pPr>
              <w:spacing w:before="0" w:after="120"/>
            </w:pPr>
            <w:r w:rsidRPr="00C31B06">
              <w:lastRenderedPageBreak/>
              <w:t>Experience of successful project management.</w:t>
            </w:r>
          </w:p>
        </w:tc>
        <w:tc>
          <w:tcPr>
            <w:tcW w:w="1323" w:type="dxa"/>
          </w:tcPr>
          <w:p w14:paraId="352D968E" w14:textId="77777777" w:rsidR="00BA2D75" w:rsidRDefault="00BA2D75" w:rsidP="00BA2D75">
            <w:pPr>
              <w:spacing w:before="0" w:after="120"/>
            </w:pPr>
          </w:p>
        </w:tc>
      </w:tr>
      <w:tr w:rsidR="00BA2D75" w14:paraId="334B5014" w14:textId="77777777" w:rsidTr="00BA2D75">
        <w:tc>
          <w:tcPr>
            <w:tcW w:w="1708" w:type="dxa"/>
          </w:tcPr>
          <w:p w14:paraId="5A67C4F7" w14:textId="77777777" w:rsidR="00BA2D75" w:rsidRPr="00FD5B0E" w:rsidRDefault="00BA2D75" w:rsidP="00BA2D75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4445" w:type="dxa"/>
          </w:tcPr>
          <w:p w14:paraId="00F9B2E5" w14:textId="77777777" w:rsidR="00BA2D75" w:rsidRDefault="00BA2D75" w:rsidP="00BA2D75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</w:p>
          <w:p w14:paraId="06509AE4" w14:textId="77777777" w:rsidR="00BA2D75" w:rsidRDefault="00BA2D75" w:rsidP="00BA2D75">
            <w:pPr>
              <w:spacing w:after="90"/>
            </w:pPr>
            <w:r>
              <w:t>Able to identify and lead</w:t>
            </w:r>
            <w:r w:rsidRPr="00B97BE9">
              <w:t xml:space="preserve"> the implementation of service and process improvements.</w:t>
            </w:r>
          </w:p>
          <w:p w14:paraId="59FC27F9" w14:textId="641D2AFE" w:rsidR="00BA2D75" w:rsidRDefault="00BA2D75" w:rsidP="00BA2D75">
            <w:pPr>
              <w:spacing w:before="0" w:after="120"/>
            </w:pPr>
            <w:r w:rsidRPr="00B97BE9">
              <w:t>Ab</w:t>
            </w:r>
            <w:r>
              <w:t xml:space="preserve">le to </w:t>
            </w:r>
            <w:r w:rsidRPr="00B97BE9">
              <w:t>use HR software packages to produce, manipulate and interpret complex management information.</w:t>
            </w:r>
          </w:p>
        </w:tc>
        <w:tc>
          <w:tcPr>
            <w:tcW w:w="2275" w:type="dxa"/>
          </w:tcPr>
          <w:p w14:paraId="3996590B" w14:textId="77777777" w:rsidR="00BA2D75" w:rsidRDefault="00BA2D75" w:rsidP="00BA2D75">
            <w:pPr>
              <w:spacing w:before="0" w:after="120"/>
            </w:pPr>
          </w:p>
        </w:tc>
        <w:tc>
          <w:tcPr>
            <w:tcW w:w="1323" w:type="dxa"/>
          </w:tcPr>
          <w:p w14:paraId="57E2CFD0" w14:textId="77777777" w:rsidR="00BA2D75" w:rsidRDefault="00BA2D75" w:rsidP="00BA2D75">
            <w:pPr>
              <w:spacing w:before="0" w:after="120"/>
            </w:pPr>
          </w:p>
        </w:tc>
      </w:tr>
      <w:tr w:rsidR="00BA2D75" w14:paraId="19A0BCF3" w14:textId="77777777" w:rsidTr="00BA2D75">
        <w:tc>
          <w:tcPr>
            <w:tcW w:w="1708" w:type="dxa"/>
          </w:tcPr>
          <w:p w14:paraId="1E6BBB51" w14:textId="08FA7091" w:rsidR="00BA2D75" w:rsidRPr="00FD5B0E" w:rsidRDefault="00BA2D75" w:rsidP="00BA2D75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4445" w:type="dxa"/>
          </w:tcPr>
          <w:p w14:paraId="55629849" w14:textId="42791E88" w:rsidR="00D0501E" w:rsidRDefault="00D0501E" w:rsidP="00BA2D75">
            <w:pPr>
              <w:spacing w:after="90"/>
            </w:pPr>
            <w:r>
              <w:t xml:space="preserve">Able to provide accurate and timely specialist advice and guidance on complex issues. </w:t>
            </w:r>
          </w:p>
          <w:p w14:paraId="7D11A395" w14:textId="77777777" w:rsidR="00BA2D75" w:rsidRDefault="00BA2D75" w:rsidP="00BA2D75">
            <w:pPr>
              <w:spacing w:after="90"/>
            </w:pPr>
            <w:r>
              <w:t>Proven ability to persuade and influence in order to foster and maintain relationships at all levels.</w:t>
            </w:r>
          </w:p>
          <w:p w14:paraId="28BD759B" w14:textId="345A995D" w:rsidR="00BA2D75" w:rsidRDefault="00BA2D75" w:rsidP="00BA2D75">
            <w:pPr>
              <w:spacing w:after="90"/>
            </w:pPr>
            <w:r>
              <w:t>Presentation and facilitation skills.</w:t>
            </w:r>
          </w:p>
          <w:p w14:paraId="07557322" w14:textId="295A09F1" w:rsidR="00BA2D75" w:rsidRDefault="00BA2D75" w:rsidP="00BA2D75">
            <w:pPr>
              <w:spacing w:after="90"/>
            </w:pPr>
            <w:r>
              <w:t>Able to convey complex and contentious information to a range of audiences including senior managers and non-specialists both verbally and in writing.</w:t>
            </w:r>
          </w:p>
          <w:p w14:paraId="742E9F30" w14:textId="77777777" w:rsidR="00BA2D75" w:rsidRDefault="00BA2D75" w:rsidP="00BA2D75">
            <w:pPr>
              <w:spacing w:after="90"/>
            </w:pPr>
            <w:r>
              <w:t>Experience of providing support and training on HR issues to a range of managers and employees.</w:t>
            </w:r>
          </w:p>
          <w:p w14:paraId="25FDE1ED" w14:textId="3B9DEB59" w:rsidR="00BA2D75" w:rsidRDefault="00BA2D75" w:rsidP="00BA2D75">
            <w:pPr>
              <w:spacing w:before="0" w:after="120"/>
            </w:pPr>
            <w:r>
              <w:t>Experience of gaining and maintaining credibility, including managing expectations across all levels of the business.</w:t>
            </w:r>
          </w:p>
        </w:tc>
        <w:tc>
          <w:tcPr>
            <w:tcW w:w="2275" w:type="dxa"/>
          </w:tcPr>
          <w:p w14:paraId="17D1103A" w14:textId="77777777" w:rsidR="00BA2D75" w:rsidRDefault="00BA2D75" w:rsidP="00BA2D75">
            <w:pPr>
              <w:spacing w:before="0" w:after="120"/>
            </w:pPr>
          </w:p>
        </w:tc>
        <w:tc>
          <w:tcPr>
            <w:tcW w:w="1323" w:type="dxa"/>
          </w:tcPr>
          <w:p w14:paraId="4A682D5A" w14:textId="77777777" w:rsidR="00BA2D75" w:rsidRDefault="00BA2D75" w:rsidP="00BA2D75">
            <w:pPr>
              <w:spacing w:before="0" w:after="120"/>
            </w:pPr>
          </w:p>
        </w:tc>
      </w:tr>
      <w:tr w:rsidR="00BA2D75" w14:paraId="77699120" w14:textId="77777777" w:rsidTr="00BA2D75">
        <w:tc>
          <w:tcPr>
            <w:tcW w:w="1708" w:type="dxa"/>
          </w:tcPr>
          <w:p w14:paraId="28D2D846" w14:textId="77777777" w:rsidR="00BA2D75" w:rsidRPr="00FD5B0E" w:rsidRDefault="00BA2D75" w:rsidP="00BA2D75">
            <w:r w:rsidRPr="00FD5B0E">
              <w:t>Special requirements</w:t>
            </w:r>
          </w:p>
        </w:tc>
        <w:tc>
          <w:tcPr>
            <w:tcW w:w="4445" w:type="dxa"/>
          </w:tcPr>
          <w:p w14:paraId="3BBFC3E1" w14:textId="4B458A31" w:rsidR="00BA2D75" w:rsidRPr="00B16529" w:rsidRDefault="00BA2D75" w:rsidP="00BA2D75">
            <w:pPr>
              <w:spacing w:before="0" w:after="120"/>
            </w:pPr>
          </w:p>
        </w:tc>
        <w:tc>
          <w:tcPr>
            <w:tcW w:w="2275" w:type="dxa"/>
          </w:tcPr>
          <w:p w14:paraId="46CA6F65" w14:textId="77777777" w:rsidR="00BA2D75" w:rsidRDefault="00BA2D75" w:rsidP="00BA2D75">
            <w:pPr>
              <w:spacing w:before="0" w:after="120"/>
            </w:pPr>
          </w:p>
        </w:tc>
        <w:tc>
          <w:tcPr>
            <w:tcW w:w="1323" w:type="dxa"/>
          </w:tcPr>
          <w:p w14:paraId="5F205BAB" w14:textId="77777777" w:rsidR="00BA2D75" w:rsidRDefault="00BA2D75" w:rsidP="00BA2D75">
            <w:pPr>
              <w:spacing w:before="0" w:after="120"/>
            </w:pPr>
          </w:p>
        </w:tc>
      </w:tr>
    </w:tbl>
    <w:p w14:paraId="5BF8A395" w14:textId="77777777" w:rsidR="00372DDC" w:rsidRDefault="00372DDC" w:rsidP="00E0029D"/>
    <w:p w14:paraId="6CA866D7" w14:textId="77777777" w:rsidR="00372DDC" w:rsidRDefault="00372DDC" w:rsidP="00E0029D"/>
    <w:p w14:paraId="15BF08E0" w14:textId="79DEB09B" w:rsidR="0012209D" w:rsidRPr="00FE0CAA" w:rsidRDefault="0012209D" w:rsidP="00BA2D75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0"/>
        <w:gridCol w:w="8727"/>
      </w:tblGrid>
      <w:tr w:rsidR="00D3349E" w14:paraId="0219F927" w14:textId="77777777" w:rsidTr="00D3349E">
        <w:tc>
          <w:tcPr>
            <w:tcW w:w="908" w:type="dxa"/>
          </w:tcPr>
          <w:p w14:paraId="3C59876E" w14:textId="6EDBB141" w:rsidR="00D3349E" w:rsidRDefault="00E250FD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D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0AB33906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</w:t>
            </w:r>
            <w:r w:rsidR="00167ABA">
              <w:t>/remove</w:t>
            </w:r>
            <w:r w:rsidR="009064A9">
              <w:t xml:space="preserve"> the section below.</w:t>
            </w:r>
          </w:p>
        </w:tc>
      </w:tr>
    </w:tbl>
    <w:p w14:paraId="3AC24A16" w14:textId="4300F451" w:rsidR="0044068D" w:rsidRDefault="0044068D">
      <w:pPr>
        <w:overflowPunct/>
        <w:autoSpaceDE/>
        <w:autoSpaceDN/>
        <w:adjustRightInd/>
        <w:spacing w:before="0" w:after="0"/>
        <w:textAlignment w:val="auto"/>
      </w:pPr>
    </w:p>
    <w:p w14:paraId="16A99607" w14:textId="61847304" w:rsidR="0044068D" w:rsidRDefault="0044068D">
      <w:pPr>
        <w:overflowPunct/>
        <w:autoSpaceDE/>
        <w:autoSpaceDN/>
        <w:adjustRightInd/>
        <w:spacing w:before="0" w:after="0"/>
        <w:textAlignment w:val="auto"/>
      </w:pPr>
    </w:p>
    <w:sectPr w:rsidR="0044068D" w:rsidSect="009D6C41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851" w:bottom="1134" w:left="1418" w:header="45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487710"/>
      <w:docPartObj>
        <w:docPartGallery w:val="Page Numbers (Bottom of Page)"/>
        <w:docPartUnique/>
      </w:docPartObj>
    </w:sdtPr>
    <w:sdtEndPr/>
    <w:sdtContent>
      <w:sdt>
        <w:sdtPr>
          <w:id w:val="74331127"/>
          <w:docPartObj>
            <w:docPartGallery w:val="Page Numbers (Top of Page)"/>
            <w:docPartUnique/>
          </w:docPartObj>
        </w:sdtPr>
        <w:sdtEndPr/>
        <w:sdtContent>
          <w:p w14:paraId="18C13DAA" w14:textId="4215EE6E" w:rsidR="00637E89" w:rsidRDefault="00637E8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99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9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F097F" w14:textId="498F47C5" w:rsidR="00062768" w:rsidRDefault="00062768" w:rsidP="00E804B0">
    <w:pPr>
      <w:pStyle w:val="Continuation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813236"/>
      <w:docPartObj>
        <w:docPartGallery w:val="Page Numbers (Bottom of Page)"/>
        <w:docPartUnique/>
      </w:docPartObj>
    </w:sdtPr>
    <w:sdtEndPr/>
    <w:sdtContent>
      <w:sdt>
        <w:sdtPr>
          <w:id w:val="1539783525"/>
          <w:docPartObj>
            <w:docPartGallery w:val="Page Numbers (Top of Page)"/>
            <w:docPartUnique/>
          </w:docPartObj>
        </w:sdtPr>
        <w:sdtEndPr/>
        <w:sdtContent>
          <w:p w14:paraId="26356707" w14:textId="18A87AA3" w:rsidR="00637E89" w:rsidRDefault="00E250FD">
            <w:pPr>
              <w:pStyle w:val="Footer"/>
              <w:jc w:val="center"/>
            </w:pPr>
          </w:p>
        </w:sdtContent>
      </w:sdt>
    </w:sdtContent>
  </w:sdt>
  <w:p w14:paraId="4B6FF9D9" w14:textId="77777777" w:rsidR="00637E89" w:rsidRDefault="00637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F967" w14:textId="77777777" w:rsidR="00637E89" w:rsidRDefault="00637E89" w:rsidP="00637E89">
    <w:pPr>
      <w:pStyle w:val="DocTitle"/>
    </w:pPr>
    <w:r>
      <w:rPr>
        <w:sz w:val="52"/>
        <w:szCs w:val="52"/>
      </w:rPr>
      <w:t>Embedding Collegiality</w:t>
    </w:r>
  </w:p>
  <w:p w14:paraId="7D361E9E" w14:textId="77777777" w:rsidR="00637E89" w:rsidRDefault="00637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Pr="00A30F08" w:rsidRDefault="00E804B0" w:rsidP="00F01EA0">
    <w:pPr>
      <w:pStyle w:val="DocTitle"/>
      <w:rPr>
        <w:sz w:val="52"/>
        <w:szCs w:val="52"/>
      </w:rPr>
    </w:pPr>
    <w:r w:rsidRPr="00A30F08">
      <w:rPr>
        <w:sz w:val="52"/>
        <w:szCs w:val="52"/>
      </w:rPr>
      <w:t>Job Description &amp; P</w:t>
    </w:r>
    <w:r w:rsidR="00013C10" w:rsidRPr="00A30F08">
      <w:rPr>
        <w:sz w:val="52"/>
        <w:szCs w:val="52"/>
      </w:rPr>
      <w:t xml:space="preserve">erson </w:t>
    </w:r>
    <w:r w:rsidRPr="00A30F08">
      <w:rPr>
        <w:sz w:val="52"/>
        <w:szCs w:val="52"/>
      </w:rPr>
      <w:t>S</w:t>
    </w:r>
    <w:r w:rsidR="00013C10" w:rsidRPr="00A30F08">
      <w:rPr>
        <w:sz w:val="52"/>
        <w:szCs w:val="52"/>
      </w:rPr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332D7C"/>
    <w:multiLevelType w:val="hybridMultilevel"/>
    <w:tmpl w:val="56046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F2197"/>
    <w:multiLevelType w:val="hybridMultilevel"/>
    <w:tmpl w:val="591CFDE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757B5F"/>
    <w:multiLevelType w:val="hybridMultilevel"/>
    <w:tmpl w:val="4242407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42692816">
    <w:abstractNumId w:val="22"/>
  </w:num>
  <w:num w:numId="2" w16cid:durableId="272173238">
    <w:abstractNumId w:val="0"/>
  </w:num>
  <w:num w:numId="3" w16cid:durableId="453133425">
    <w:abstractNumId w:val="16"/>
  </w:num>
  <w:num w:numId="4" w16cid:durableId="80180846">
    <w:abstractNumId w:val="10"/>
  </w:num>
  <w:num w:numId="5" w16cid:durableId="1853757605">
    <w:abstractNumId w:val="11"/>
  </w:num>
  <w:num w:numId="6" w16cid:durableId="545289785">
    <w:abstractNumId w:val="8"/>
  </w:num>
  <w:num w:numId="7" w16cid:durableId="1902252008">
    <w:abstractNumId w:val="3"/>
  </w:num>
  <w:num w:numId="8" w16cid:durableId="905726371">
    <w:abstractNumId w:val="6"/>
  </w:num>
  <w:num w:numId="9" w16cid:durableId="118643595">
    <w:abstractNumId w:val="1"/>
  </w:num>
  <w:num w:numId="10" w16cid:durableId="484474326">
    <w:abstractNumId w:val="9"/>
  </w:num>
  <w:num w:numId="11" w16cid:durableId="90471056">
    <w:abstractNumId w:val="5"/>
  </w:num>
  <w:num w:numId="12" w16cid:durableId="1256014791">
    <w:abstractNumId w:val="17"/>
  </w:num>
  <w:num w:numId="13" w16cid:durableId="914361294">
    <w:abstractNumId w:val="18"/>
  </w:num>
  <w:num w:numId="14" w16cid:durableId="60324504">
    <w:abstractNumId w:val="7"/>
  </w:num>
  <w:num w:numId="15" w16cid:durableId="2096199505">
    <w:abstractNumId w:val="2"/>
  </w:num>
  <w:num w:numId="16" w16cid:durableId="778988543">
    <w:abstractNumId w:val="13"/>
  </w:num>
  <w:num w:numId="17" w16cid:durableId="884482712">
    <w:abstractNumId w:val="15"/>
  </w:num>
  <w:num w:numId="18" w16cid:durableId="679430646">
    <w:abstractNumId w:val="21"/>
  </w:num>
  <w:num w:numId="19" w16cid:durableId="747925947">
    <w:abstractNumId w:val="14"/>
  </w:num>
  <w:num w:numId="20" w16cid:durableId="462163964">
    <w:abstractNumId w:val="20"/>
  </w:num>
  <w:num w:numId="21" w16cid:durableId="1650288455">
    <w:abstractNumId w:val="12"/>
  </w:num>
  <w:num w:numId="22" w16cid:durableId="1132134780">
    <w:abstractNumId w:val="19"/>
  </w:num>
  <w:num w:numId="23" w16cid:durableId="160295518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2073"/>
    <w:rsid w:val="00010B45"/>
    <w:rsid w:val="000132EB"/>
    <w:rsid w:val="00013C10"/>
    <w:rsid w:val="00015087"/>
    <w:rsid w:val="0005274A"/>
    <w:rsid w:val="00062768"/>
    <w:rsid w:val="00063081"/>
    <w:rsid w:val="00071653"/>
    <w:rsid w:val="0008196A"/>
    <w:rsid w:val="000824F4"/>
    <w:rsid w:val="000978E8"/>
    <w:rsid w:val="000B1DED"/>
    <w:rsid w:val="000B4E5A"/>
    <w:rsid w:val="0012209D"/>
    <w:rsid w:val="00137D43"/>
    <w:rsid w:val="001401A3"/>
    <w:rsid w:val="001532E2"/>
    <w:rsid w:val="00156F2F"/>
    <w:rsid w:val="00167ABA"/>
    <w:rsid w:val="0018144C"/>
    <w:rsid w:val="001840EA"/>
    <w:rsid w:val="001A0E21"/>
    <w:rsid w:val="001B6986"/>
    <w:rsid w:val="001C017E"/>
    <w:rsid w:val="001C5C5C"/>
    <w:rsid w:val="001D0B37"/>
    <w:rsid w:val="001D5201"/>
    <w:rsid w:val="001E24BE"/>
    <w:rsid w:val="00205458"/>
    <w:rsid w:val="00205EDC"/>
    <w:rsid w:val="0021185A"/>
    <w:rsid w:val="00236BFE"/>
    <w:rsid w:val="00241441"/>
    <w:rsid w:val="0024539C"/>
    <w:rsid w:val="00254722"/>
    <w:rsid w:val="002547F5"/>
    <w:rsid w:val="00260333"/>
    <w:rsid w:val="00260B1D"/>
    <w:rsid w:val="00266C6A"/>
    <w:rsid w:val="00274266"/>
    <w:rsid w:val="0028509A"/>
    <w:rsid w:val="002933F6"/>
    <w:rsid w:val="0029789A"/>
    <w:rsid w:val="002A70BE"/>
    <w:rsid w:val="002C6198"/>
    <w:rsid w:val="002D4DF4"/>
    <w:rsid w:val="002D62DC"/>
    <w:rsid w:val="002E2484"/>
    <w:rsid w:val="00301CF5"/>
    <w:rsid w:val="00313CC8"/>
    <w:rsid w:val="003178D9"/>
    <w:rsid w:val="0034151E"/>
    <w:rsid w:val="00364B2C"/>
    <w:rsid w:val="003701F7"/>
    <w:rsid w:val="00372DDC"/>
    <w:rsid w:val="003B0262"/>
    <w:rsid w:val="003B7540"/>
    <w:rsid w:val="003C6242"/>
    <w:rsid w:val="004263FE"/>
    <w:rsid w:val="0044068D"/>
    <w:rsid w:val="004445D9"/>
    <w:rsid w:val="00463797"/>
    <w:rsid w:val="00474D00"/>
    <w:rsid w:val="00496FB5"/>
    <w:rsid w:val="004B2A50"/>
    <w:rsid w:val="004C0252"/>
    <w:rsid w:val="004E347B"/>
    <w:rsid w:val="0051744C"/>
    <w:rsid w:val="00524005"/>
    <w:rsid w:val="00541CE0"/>
    <w:rsid w:val="005534E1"/>
    <w:rsid w:val="00573487"/>
    <w:rsid w:val="00580CBF"/>
    <w:rsid w:val="0058322E"/>
    <w:rsid w:val="00585210"/>
    <w:rsid w:val="005907B3"/>
    <w:rsid w:val="005949FA"/>
    <w:rsid w:val="005C0925"/>
    <w:rsid w:val="005C6341"/>
    <w:rsid w:val="005D44D1"/>
    <w:rsid w:val="006249FD"/>
    <w:rsid w:val="00637979"/>
    <w:rsid w:val="00637E89"/>
    <w:rsid w:val="006449C0"/>
    <w:rsid w:val="00651280"/>
    <w:rsid w:val="00657FAE"/>
    <w:rsid w:val="00680547"/>
    <w:rsid w:val="00682808"/>
    <w:rsid w:val="00690495"/>
    <w:rsid w:val="00695D76"/>
    <w:rsid w:val="006B1AF6"/>
    <w:rsid w:val="006C062A"/>
    <w:rsid w:val="006F44EB"/>
    <w:rsid w:val="00701DD4"/>
    <w:rsid w:val="0070376B"/>
    <w:rsid w:val="00761108"/>
    <w:rsid w:val="00786A9C"/>
    <w:rsid w:val="0079197B"/>
    <w:rsid w:val="00791A2A"/>
    <w:rsid w:val="007A71CA"/>
    <w:rsid w:val="007C22CC"/>
    <w:rsid w:val="007C4EB8"/>
    <w:rsid w:val="007C6740"/>
    <w:rsid w:val="007C6FAA"/>
    <w:rsid w:val="007E1CD3"/>
    <w:rsid w:val="007E2D19"/>
    <w:rsid w:val="007F2AEA"/>
    <w:rsid w:val="00802311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558B"/>
    <w:rsid w:val="008D52C9"/>
    <w:rsid w:val="008F03C7"/>
    <w:rsid w:val="009064A9"/>
    <w:rsid w:val="00912810"/>
    <w:rsid w:val="00945F4B"/>
    <w:rsid w:val="009464AF"/>
    <w:rsid w:val="00950B4B"/>
    <w:rsid w:val="00954E47"/>
    <w:rsid w:val="00965BFB"/>
    <w:rsid w:val="00970E28"/>
    <w:rsid w:val="0098120F"/>
    <w:rsid w:val="00996476"/>
    <w:rsid w:val="009D6C41"/>
    <w:rsid w:val="009E48A0"/>
    <w:rsid w:val="00A021B7"/>
    <w:rsid w:val="00A131D9"/>
    <w:rsid w:val="00A14888"/>
    <w:rsid w:val="00A23226"/>
    <w:rsid w:val="00A30F08"/>
    <w:rsid w:val="00A31EB5"/>
    <w:rsid w:val="00A34296"/>
    <w:rsid w:val="00A521A9"/>
    <w:rsid w:val="00A80617"/>
    <w:rsid w:val="00A8667C"/>
    <w:rsid w:val="00A925C0"/>
    <w:rsid w:val="00AA3CB5"/>
    <w:rsid w:val="00AC2B17"/>
    <w:rsid w:val="00AE1CA0"/>
    <w:rsid w:val="00AE39DC"/>
    <w:rsid w:val="00AE4DC4"/>
    <w:rsid w:val="00B106B1"/>
    <w:rsid w:val="00B16529"/>
    <w:rsid w:val="00B22D74"/>
    <w:rsid w:val="00B41D74"/>
    <w:rsid w:val="00B430BB"/>
    <w:rsid w:val="00B558DF"/>
    <w:rsid w:val="00B73954"/>
    <w:rsid w:val="00B84C12"/>
    <w:rsid w:val="00BA2D75"/>
    <w:rsid w:val="00BB4A42"/>
    <w:rsid w:val="00BB7845"/>
    <w:rsid w:val="00BE2992"/>
    <w:rsid w:val="00BF1CC6"/>
    <w:rsid w:val="00C00C8D"/>
    <w:rsid w:val="00C35027"/>
    <w:rsid w:val="00C41330"/>
    <w:rsid w:val="00C45005"/>
    <w:rsid w:val="00C51655"/>
    <w:rsid w:val="00C83645"/>
    <w:rsid w:val="00C907D0"/>
    <w:rsid w:val="00CB1F23"/>
    <w:rsid w:val="00CD04F0"/>
    <w:rsid w:val="00CE3A26"/>
    <w:rsid w:val="00CF079A"/>
    <w:rsid w:val="00CF6B38"/>
    <w:rsid w:val="00D0501E"/>
    <w:rsid w:val="00D10441"/>
    <w:rsid w:val="00D16D9D"/>
    <w:rsid w:val="00D3349E"/>
    <w:rsid w:val="00D54AA2"/>
    <w:rsid w:val="00D55315"/>
    <w:rsid w:val="00D5587F"/>
    <w:rsid w:val="00D6131A"/>
    <w:rsid w:val="00D65B56"/>
    <w:rsid w:val="00D67D41"/>
    <w:rsid w:val="00D75403"/>
    <w:rsid w:val="00DF22EA"/>
    <w:rsid w:val="00E0029D"/>
    <w:rsid w:val="00E00AA2"/>
    <w:rsid w:val="00E250FD"/>
    <w:rsid w:val="00E25775"/>
    <w:rsid w:val="00E264FD"/>
    <w:rsid w:val="00E363B8"/>
    <w:rsid w:val="00E63AC1"/>
    <w:rsid w:val="00E804B0"/>
    <w:rsid w:val="00E96015"/>
    <w:rsid w:val="00EA2B94"/>
    <w:rsid w:val="00EA3D33"/>
    <w:rsid w:val="00EA6BCF"/>
    <w:rsid w:val="00ED2E52"/>
    <w:rsid w:val="00F01EA0"/>
    <w:rsid w:val="00F378D2"/>
    <w:rsid w:val="00F46A1F"/>
    <w:rsid w:val="00F60949"/>
    <w:rsid w:val="00F85DED"/>
    <w:rsid w:val="00F90F90"/>
    <w:rsid w:val="00FB7297"/>
    <w:rsid w:val="00FC084D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FollowedHyperlink">
    <w:name w:val="FollowedHyperlink"/>
    <w:basedOn w:val="DefaultParagraphFont"/>
    <w:semiHidden/>
    <w:unhideWhenUsed/>
    <w:rsid w:val="00637E89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37E89"/>
    <w:rPr>
      <w:rFonts w:ascii="Lucida Sans" w:hAnsi="Lucida Sans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B1BD45-FC0A-437B-9D0E-A9A9BB363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David Wayman</cp:lastModifiedBy>
  <cp:revision>3</cp:revision>
  <cp:lastPrinted>2018-05-04T15:48:00Z</cp:lastPrinted>
  <dcterms:created xsi:type="dcterms:W3CDTF">2024-03-06T14:59:00Z</dcterms:created>
  <dcterms:modified xsi:type="dcterms:W3CDTF">2024-03-06T15:00:00Z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